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33514" w14:paraId="5C5232F4" w14:textId="77777777">
        <w:tblPrEx>
          <w:tblCellMar>
            <w:top w:w="0" w:type="dxa"/>
            <w:bottom w:w="0" w:type="dxa"/>
          </w:tblCellMar>
        </w:tblPrEx>
        <w:tc>
          <w:tcPr>
            <w:tcW w:w="9160" w:type="dxa"/>
            <w:shd w:val="clear" w:color="auto" w:fill="F2EED5"/>
          </w:tcPr>
          <w:p w14:paraId="39C012CE" w14:textId="77777777" w:rsidR="00833514" w:rsidRDefault="00833514">
            <w:pPr>
              <w:ind w:firstLine="0"/>
              <w:jc w:val="center"/>
              <w:rPr>
                <w:sz w:val="20"/>
                <w:lang w:bidi="ar-SA"/>
              </w:rPr>
            </w:pPr>
          </w:p>
          <w:p w14:paraId="189E2EAC" w14:textId="77777777" w:rsidR="00833514" w:rsidRDefault="00833514">
            <w:pPr>
              <w:ind w:firstLine="0"/>
              <w:jc w:val="center"/>
              <w:rPr>
                <w:color w:val="FF0000"/>
                <w:sz w:val="20"/>
                <w:lang w:bidi="ar-SA"/>
              </w:rPr>
            </w:pPr>
          </w:p>
          <w:p w14:paraId="07713B0E" w14:textId="77777777" w:rsidR="00833514" w:rsidRDefault="00833514">
            <w:pPr>
              <w:ind w:firstLine="0"/>
              <w:jc w:val="center"/>
              <w:rPr>
                <w:color w:val="FF0000"/>
                <w:sz w:val="20"/>
                <w:lang w:bidi="ar-SA"/>
              </w:rPr>
            </w:pPr>
          </w:p>
          <w:p w14:paraId="1DF32EE7" w14:textId="77777777" w:rsidR="00833514" w:rsidRDefault="00833514">
            <w:pPr>
              <w:ind w:firstLine="0"/>
              <w:jc w:val="center"/>
              <w:rPr>
                <w:color w:val="FF0000"/>
                <w:sz w:val="20"/>
                <w:lang w:bidi="ar-SA"/>
              </w:rPr>
            </w:pPr>
          </w:p>
          <w:p w14:paraId="155B0AD8" w14:textId="77777777" w:rsidR="00833514" w:rsidRDefault="00833514">
            <w:pPr>
              <w:ind w:firstLine="0"/>
              <w:jc w:val="center"/>
              <w:rPr>
                <w:b/>
                <w:sz w:val="20"/>
                <w:lang w:bidi="ar-SA"/>
              </w:rPr>
            </w:pPr>
          </w:p>
          <w:p w14:paraId="60BBB96A" w14:textId="77777777" w:rsidR="00833514" w:rsidRDefault="00833514">
            <w:pPr>
              <w:ind w:firstLine="0"/>
              <w:jc w:val="center"/>
              <w:rPr>
                <w:sz w:val="20"/>
                <w:lang w:bidi="ar-SA"/>
              </w:rPr>
            </w:pPr>
          </w:p>
          <w:p w14:paraId="1CC4F326" w14:textId="77777777" w:rsidR="00833514" w:rsidRPr="00281A82" w:rsidRDefault="00833514" w:rsidP="00833514">
            <w:pPr>
              <w:ind w:firstLine="0"/>
              <w:jc w:val="center"/>
              <w:rPr>
                <w:sz w:val="48"/>
                <w:lang w:bidi="ar-SA"/>
              </w:rPr>
            </w:pPr>
            <w:r w:rsidRPr="00281A82">
              <w:rPr>
                <w:sz w:val="48"/>
                <w:lang w:bidi="ar-SA"/>
              </w:rPr>
              <w:t>Pierre PAQUETTE</w:t>
            </w:r>
          </w:p>
          <w:p w14:paraId="4AB0B1E6" w14:textId="77777777" w:rsidR="00833514" w:rsidRDefault="00833514">
            <w:pPr>
              <w:pStyle w:val="Corpsdetexte"/>
              <w:widowControl w:val="0"/>
              <w:spacing w:before="0" w:after="0"/>
              <w:rPr>
                <w:color w:val="FF0000"/>
                <w:sz w:val="24"/>
                <w:lang w:bidi="ar-SA"/>
              </w:rPr>
            </w:pPr>
          </w:p>
          <w:p w14:paraId="77A5AE20" w14:textId="77777777" w:rsidR="00833514" w:rsidRDefault="00833514">
            <w:pPr>
              <w:pStyle w:val="Corpsdetexte"/>
              <w:widowControl w:val="0"/>
              <w:spacing w:before="0" w:after="0"/>
              <w:rPr>
                <w:color w:val="FF0000"/>
                <w:sz w:val="24"/>
                <w:lang w:bidi="ar-SA"/>
              </w:rPr>
            </w:pPr>
          </w:p>
          <w:p w14:paraId="2A15FF35" w14:textId="77777777" w:rsidR="00833514" w:rsidRDefault="00833514">
            <w:pPr>
              <w:widowControl w:val="0"/>
              <w:ind w:firstLine="0"/>
              <w:jc w:val="center"/>
              <w:rPr>
                <w:lang w:bidi="ar-SA"/>
              </w:rPr>
            </w:pPr>
            <w:r>
              <w:rPr>
                <w:sz w:val="36"/>
                <w:lang w:bidi="ar-SA"/>
              </w:rPr>
              <w:t>Printemps - été 1980</w:t>
            </w:r>
          </w:p>
          <w:p w14:paraId="28EC5837" w14:textId="77777777" w:rsidR="00833514" w:rsidRDefault="00833514">
            <w:pPr>
              <w:widowControl w:val="0"/>
              <w:ind w:firstLine="0"/>
              <w:jc w:val="center"/>
              <w:rPr>
                <w:lang w:bidi="ar-SA"/>
              </w:rPr>
            </w:pPr>
          </w:p>
          <w:p w14:paraId="0E010628" w14:textId="77777777" w:rsidR="00833514" w:rsidRDefault="00833514">
            <w:pPr>
              <w:widowControl w:val="0"/>
              <w:ind w:firstLine="0"/>
              <w:jc w:val="center"/>
              <w:rPr>
                <w:lang w:bidi="ar-SA"/>
              </w:rPr>
            </w:pPr>
          </w:p>
          <w:p w14:paraId="5855EDA5" w14:textId="77777777" w:rsidR="00833514" w:rsidRDefault="00833514">
            <w:pPr>
              <w:widowControl w:val="0"/>
              <w:ind w:firstLine="0"/>
              <w:jc w:val="center"/>
              <w:rPr>
                <w:lang w:bidi="ar-SA"/>
              </w:rPr>
            </w:pPr>
          </w:p>
          <w:p w14:paraId="738AA6DC" w14:textId="77777777" w:rsidR="00833514" w:rsidRPr="00281A82" w:rsidRDefault="00833514">
            <w:pPr>
              <w:widowControl w:val="0"/>
              <w:ind w:firstLine="0"/>
              <w:jc w:val="center"/>
              <w:rPr>
                <w:sz w:val="72"/>
                <w:lang w:bidi="ar-SA"/>
              </w:rPr>
            </w:pPr>
            <w:r w:rsidRPr="00281A82">
              <w:rPr>
                <w:sz w:val="72"/>
                <w:lang w:bidi="ar-SA"/>
              </w:rPr>
              <w:t>“Le labyrinthe pétrolier.”</w:t>
            </w:r>
          </w:p>
          <w:p w14:paraId="2930308C" w14:textId="77777777" w:rsidR="00833514" w:rsidRDefault="00833514">
            <w:pPr>
              <w:widowControl w:val="0"/>
              <w:ind w:firstLine="0"/>
              <w:jc w:val="center"/>
              <w:rPr>
                <w:lang w:bidi="ar-SA"/>
              </w:rPr>
            </w:pPr>
          </w:p>
          <w:p w14:paraId="38C3309E" w14:textId="77777777" w:rsidR="00833514" w:rsidRDefault="00833514">
            <w:pPr>
              <w:widowControl w:val="0"/>
              <w:ind w:firstLine="0"/>
              <w:jc w:val="center"/>
              <w:rPr>
                <w:lang w:bidi="ar-SA"/>
              </w:rPr>
            </w:pPr>
          </w:p>
          <w:p w14:paraId="332CFB5C" w14:textId="77777777" w:rsidR="00833514" w:rsidRDefault="00833514" w:rsidP="00833514">
            <w:pPr>
              <w:ind w:firstLine="0"/>
              <w:jc w:val="center"/>
              <w:rPr>
                <w:color w:val="FF0000"/>
                <w:sz w:val="36"/>
                <w:lang w:bidi="ar-SA"/>
              </w:rPr>
            </w:pPr>
          </w:p>
          <w:p w14:paraId="5FB3C9B8" w14:textId="77777777" w:rsidR="00833514" w:rsidRDefault="00833514" w:rsidP="00833514">
            <w:pPr>
              <w:widowControl w:val="0"/>
              <w:ind w:firstLine="0"/>
              <w:jc w:val="center"/>
              <w:rPr>
                <w:lang w:bidi="ar-SA"/>
              </w:rPr>
            </w:pPr>
          </w:p>
          <w:p w14:paraId="0F4E74C2" w14:textId="77777777" w:rsidR="00833514" w:rsidRDefault="00833514" w:rsidP="00833514">
            <w:pPr>
              <w:widowControl w:val="0"/>
              <w:ind w:firstLine="0"/>
              <w:jc w:val="center"/>
              <w:rPr>
                <w:lang w:bidi="ar-SA"/>
              </w:rPr>
            </w:pPr>
          </w:p>
          <w:p w14:paraId="4FE1F2F1" w14:textId="77777777" w:rsidR="00833514" w:rsidRDefault="00833514" w:rsidP="00833514">
            <w:pPr>
              <w:widowControl w:val="0"/>
              <w:ind w:firstLine="0"/>
              <w:jc w:val="center"/>
              <w:rPr>
                <w:lang w:bidi="ar-SA"/>
              </w:rPr>
            </w:pPr>
          </w:p>
          <w:p w14:paraId="2A31F7CC" w14:textId="77777777" w:rsidR="00833514" w:rsidRDefault="00833514" w:rsidP="00833514">
            <w:pPr>
              <w:widowControl w:val="0"/>
              <w:ind w:firstLine="0"/>
              <w:jc w:val="center"/>
              <w:rPr>
                <w:sz w:val="20"/>
                <w:lang w:bidi="ar-SA"/>
              </w:rPr>
            </w:pPr>
          </w:p>
          <w:p w14:paraId="59FC0455" w14:textId="77777777" w:rsidR="00833514" w:rsidRPr="00384B20" w:rsidRDefault="00833514" w:rsidP="00833514">
            <w:pPr>
              <w:widowControl w:val="0"/>
              <w:ind w:firstLine="0"/>
              <w:jc w:val="center"/>
              <w:rPr>
                <w:sz w:val="20"/>
                <w:lang w:bidi="ar-SA"/>
              </w:rPr>
            </w:pPr>
          </w:p>
          <w:p w14:paraId="343F05B3" w14:textId="77777777" w:rsidR="00833514" w:rsidRPr="00384B20" w:rsidRDefault="00833514" w:rsidP="0083351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0CA6F2E" w14:textId="77777777" w:rsidR="00833514" w:rsidRPr="00E07116" w:rsidRDefault="00833514" w:rsidP="00833514">
            <w:pPr>
              <w:widowControl w:val="0"/>
              <w:ind w:firstLine="0"/>
              <w:jc w:val="both"/>
              <w:rPr>
                <w:lang w:bidi="ar-SA"/>
              </w:rPr>
            </w:pPr>
          </w:p>
          <w:p w14:paraId="211818AC" w14:textId="77777777" w:rsidR="00833514" w:rsidRPr="00E07116" w:rsidRDefault="00833514" w:rsidP="00833514">
            <w:pPr>
              <w:widowControl w:val="0"/>
              <w:ind w:firstLine="0"/>
              <w:jc w:val="both"/>
              <w:rPr>
                <w:lang w:bidi="ar-SA"/>
              </w:rPr>
            </w:pPr>
          </w:p>
          <w:p w14:paraId="347733C2" w14:textId="77777777" w:rsidR="00833514" w:rsidRDefault="00833514" w:rsidP="00833514">
            <w:pPr>
              <w:widowControl w:val="0"/>
              <w:ind w:firstLine="0"/>
              <w:jc w:val="both"/>
              <w:rPr>
                <w:lang w:bidi="ar-SA"/>
              </w:rPr>
            </w:pPr>
          </w:p>
          <w:p w14:paraId="5C0978EF" w14:textId="77777777" w:rsidR="00833514" w:rsidRDefault="00833514" w:rsidP="00833514">
            <w:pPr>
              <w:widowControl w:val="0"/>
              <w:ind w:firstLine="0"/>
              <w:jc w:val="both"/>
              <w:rPr>
                <w:lang w:bidi="ar-SA"/>
              </w:rPr>
            </w:pPr>
          </w:p>
          <w:p w14:paraId="72715265" w14:textId="77777777" w:rsidR="00833514" w:rsidRDefault="00833514" w:rsidP="00833514">
            <w:pPr>
              <w:widowControl w:val="0"/>
              <w:ind w:firstLine="0"/>
              <w:jc w:val="both"/>
              <w:rPr>
                <w:lang w:bidi="ar-SA"/>
              </w:rPr>
            </w:pPr>
          </w:p>
          <w:p w14:paraId="0072EA47" w14:textId="77777777" w:rsidR="00833514" w:rsidRDefault="00833514" w:rsidP="00833514">
            <w:pPr>
              <w:widowControl w:val="0"/>
              <w:ind w:firstLine="0"/>
              <w:jc w:val="both"/>
              <w:rPr>
                <w:lang w:bidi="ar-SA"/>
              </w:rPr>
            </w:pPr>
          </w:p>
          <w:p w14:paraId="53924364" w14:textId="77777777" w:rsidR="00833514" w:rsidRDefault="00833514" w:rsidP="00833514">
            <w:pPr>
              <w:widowControl w:val="0"/>
              <w:ind w:firstLine="0"/>
              <w:rPr>
                <w:lang w:bidi="ar-SA"/>
              </w:rPr>
            </w:pPr>
          </w:p>
          <w:p w14:paraId="2D302381" w14:textId="77777777" w:rsidR="00833514" w:rsidRDefault="00833514" w:rsidP="00833514">
            <w:pPr>
              <w:widowControl w:val="0"/>
              <w:ind w:firstLine="0"/>
              <w:rPr>
                <w:lang w:bidi="ar-SA"/>
              </w:rPr>
            </w:pPr>
          </w:p>
          <w:p w14:paraId="2ACED871" w14:textId="77777777" w:rsidR="00833514" w:rsidRDefault="00833514" w:rsidP="00833514">
            <w:pPr>
              <w:widowControl w:val="0"/>
              <w:ind w:firstLine="0"/>
              <w:jc w:val="both"/>
              <w:rPr>
                <w:lang w:bidi="ar-SA"/>
              </w:rPr>
            </w:pPr>
          </w:p>
        </w:tc>
      </w:tr>
    </w:tbl>
    <w:p w14:paraId="5879948E" w14:textId="77777777" w:rsidR="00833514" w:rsidRDefault="00833514" w:rsidP="00833514">
      <w:pPr>
        <w:ind w:firstLine="0"/>
        <w:jc w:val="both"/>
      </w:pPr>
      <w:r>
        <w:br w:type="page"/>
      </w:r>
    </w:p>
    <w:p w14:paraId="4B44E43A" w14:textId="77777777" w:rsidR="00833514" w:rsidRDefault="00833514" w:rsidP="00833514">
      <w:pPr>
        <w:ind w:firstLine="0"/>
        <w:jc w:val="both"/>
      </w:pPr>
    </w:p>
    <w:p w14:paraId="2CF45A57" w14:textId="77777777" w:rsidR="00833514" w:rsidRDefault="00833514" w:rsidP="00833514">
      <w:pPr>
        <w:ind w:firstLine="0"/>
        <w:jc w:val="both"/>
      </w:pPr>
    </w:p>
    <w:p w14:paraId="353A8A35" w14:textId="77777777" w:rsidR="00833514" w:rsidRDefault="000968E2" w:rsidP="00833514">
      <w:pPr>
        <w:ind w:firstLine="0"/>
        <w:jc w:val="right"/>
      </w:pPr>
      <w:r>
        <w:rPr>
          <w:noProof/>
        </w:rPr>
        <w:drawing>
          <wp:inline distT="0" distB="0" distL="0" distR="0" wp14:anchorId="5FAF9F8B" wp14:editId="6F888FC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1D4DB7D" w14:textId="77777777" w:rsidR="00833514" w:rsidRDefault="00833514" w:rsidP="00833514">
      <w:pPr>
        <w:ind w:firstLine="0"/>
        <w:jc w:val="right"/>
      </w:pPr>
      <w:hyperlink r:id="rId9" w:history="1">
        <w:r w:rsidRPr="00302466">
          <w:rPr>
            <w:rStyle w:val="Hyperlien"/>
          </w:rPr>
          <w:t>http://classiques.uqac.ca/</w:t>
        </w:r>
      </w:hyperlink>
      <w:r>
        <w:t xml:space="preserve"> </w:t>
      </w:r>
    </w:p>
    <w:p w14:paraId="7DF501C7" w14:textId="77777777" w:rsidR="00833514" w:rsidRDefault="00833514" w:rsidP="00833514">
      <w:pPr>
        <w:ind w:firstLine="0"/>
        <w:jc w:val="both"/>
      </w:pPr>
    </w:p>
    <w:p w14:paraId="3B52386A" w14:textId="77777777" w:rsidR="00833514" w:rsidRDefault="00833514" w:rsidP="00833514">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5C4AFD91" w14:textId="77777777" w:rsidR="00833514" w:rsidRDefault="00833514" w:rsidP="00833514">
      <w:pPr>
        <w:ind w:firstLine="0"/>
        <w:jc w:val="both"/>
      </w:pPr>
    </w:p>
    <w:p w14:paraId="43EE9352" w14:textId="77777777" w:rsidR="00833514" w:rsidRDefault="000968E2" w:rsidP="00833514">
      <w:pPr>
        <w:ind w:firstLine="0"/>
        <w:jc w:val="both"/>
      </w:pPr>
      <w:r>
        <w:rPr>
          <w:noProof/>
        </w:rPr>
        <w:drawing>
          <wp:inline distT="0" distB="0" distL="0" distR="0" wp14:anchorId="64FFCD68" wp14:editId="4477F702">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2967CFE" w14:textId="77777777" w:rsidR="00833514" w:rsidRDefault="00833514" w:rsidP="00833514">
      <w:pPr>
        <w:ind w:firstLine="0"/>
        <w:jc w:val="both"/>
      </w:pPr>
      <w:hyperlink r:id="rId11" w:history="1">
        <w:r w:rsidRPr="00302466">
          <w:rPr>
            <w:rStyle w:val="Hyperlien"/>
          </w:rPr>
          <w:t>http://bibliotheque.uqac.ca/</w:t>
        </w:r>
      </w:hyperlink>
      <w:r>
        <w:t xml:space="preserve"> </w:t>
      </w:r>
    </w:p>
    <w:p w14:paraId="5245EBB2" w14:textId="77777777" w:rsidR="00833514" w:rsidRDefault="00833514" w:rsidP="00833514">
      <w:pPr>
        <w:ind w:firstLine="0"/>
        <w:jc w:val="both"/>
      </w:pPr>
    </w:p>
    <w:p w14:paraId="5F6FFA2F" w14:textId="77777777" w:rsidR="00833514" w:rsidRDefault="00833514" w:rsidP="00833514">
      <w:pPr>
        <w:ind w:firstLine="0"/>
        <w:jc w:val="both"/>
      </w:pPr>
    </w:p>
    <w:p w14:paraId="65DDB3D7" w14:textId="77777777" w:rsidR="00833514" w:rsidRDefault="00833514" w:rsidP="0083351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54925FC" w14:textId="77777777" w:rsidR="00833514" w:rsidRPr="005E1FF1" w:rsidRDefault="00833514" w:rsidP="00833514">
      <w:pPr>
        <w:widowControl w:val="0"/>
        <w:autoSpaceDE w:val="0"/>
        <w:autoSpaceDN w:val="0"/>
        <w:adjustRightInd w:val="0"/>
        <w:rPr>
          <w:rFonts w:ascii="Arial" w:hAnsi="Arial"/>
          <w:sz w:val="32"/>
          <w:szCs w:val="32"/>
        </w:rPr>
      </w:pPr>
      <w:r w:rsidRPr="00E07116">
        <w:br w:type="page"/>
      </w:r>
    </w:p>
    <w:p w14:paraId="6242F715" w14:textId="77777777" w:rsidR="00833514" w:rsidRPr="005E1FF1" w:rsidRDefault="0083351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E0DC5DC" w14:textId="77777777" w:rsidR="00833514" w:rsidRPr="005E1FF1" w:rsidRDefault="00833514">
      <w:pPr>
        <w:widowControl w:val="0"/>
        <w:autoSpaceDE w:val="0"/>
        <w:autoSpaceDN w:val="0"/>
        <w:adjustRightInd w:val="0"/>
        <w:rPr>
          <w:rFonts w:ascii="Arial" w:hAnsi="Arial"/>
          <w:sz w:val="32"/>
          <w:szCs w:val="32"/>
        </w:rPr>
      </w:pPr>
    </w:p>
    <w:p w14:paraId="316C4B9C" w14:textId="77777777" w:rsidR="00833514" w:rsidRPr="005E1FF1" w:rsidRDefault="00833514">
      <w:pPr>
        <w:widowControl w:val="0"/>
        <w:autoSpaceDE w:val="0"/>
        <w:autoSpaceDN w:val="0"/>
        <w:adjustRightInd w:val="0"/>
        <w:jc w:val="both"/>
        <w:rPr>
          <w:rFonts w:ascii="Arial" w:hAnsi="Arial"/>
          <w:color w:val="1C1C1C"/>
          <w:sz w:val="26"/>
          <w:szCs w:val="26"/>
        </w:rPr>
      </w:pPr>
    </w:p>
    <w:p w14:paraId="229D6C7A" w14:textId="77777777" w:rsidR="00833514" w:rsidRPr="005E1FF1" w:rsidRDefault="00833514">
      <w:pPr>
        <w:widowControl w:val="0"/>
        <w:autoSpaceDE w:val="0"/>
        <w:autoSpaceDN w:val="0"/>
        <w:adjustRightInd w:val="0"/>
        <w:jc w:val="both"/>
        <w:rPr>
          <w:rFonts w:ascii="Arial" w:hAnsi="Arial"/>
          <w:color w:val="1C1C1C"/>
          <w:sz w:val="26"/>
          <w:szCs w:val="26"/>
        </w:rPr>
      </w:pPr>
    </w:p>
    <w:p w14:paraId="0C573EC5" w14:textId="77777777" w:rsidR="00833514" w:rsidRPr="005E1FF1" w:rsidRDefault="0083351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A0FB2C2" w14:textId="77777777" w:rsidR="00833514" w:rsidRPr="005E1FF1" w:rsidRDefault="00833514">
      <w:pPr>
        <w:widowControl w:val="0"/>
        <w:autoSpaceDE w:val="0"/>
        <w:autoSpaceDN w:val="0"/>
        <w:adjustRightInd w:val="0"/>
        <w:jc w:val="both"/>
        <w:rPr>
          <w:rFonts w:ascii="Arial" w:hAnsi="Arial"/>
          <w:color w:val="1C1C1C"/>
          <w:sz w:val="26"/>
          <w:szCs w:val="26"/>
        </w:rPr>
      </w:pPr>
    </w:p>
    <w:p w14:paraId="17496FE1" w14:textId="77777777" w:rsidR="00833514" w:rsidRPr="00F336C5" w:rsidRDefault="00833514" w:rsidP="008335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7755D570" w14:textId="77777777" w:rsidR="00833514" w:rsidRPr="00F336C5" w:rsidRDefault="00833514" w:rsidP="00833514">
      <w:pPr>
        <w:widowControl w:val="0"/>
        <w:autoSpaceDE w:val="0"/>
        <w:autoSpaceDN w:val="0"/>
        <w:adjustRightInd w:val="0"/>
        <w:jc w:val="both"/>
        <w:rPr>
          <w:rFonts w:ascii="Arial" w:hAnsi="Arial"/>
          <w:color w:val="1C1C1C"/>
          <w:sz w:val="26"/>
          <w:szCs w:val="26"/>
        </w:rPr>
      </w:pPr>
    </w:p>
    <w:p w14:paraId="32EA2D90" w14:textId="77777777" w:rsidR="00833514" w:rsidRPr="00F336C5" w:rsidRDefault="00833514" w:rsidP="008335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5CE2BB29" w14:textId="77777777" w:rsidR="00833514" w:rsidRPr="00F336C5" w:rsidRDefault="00833514" w:rsidP="0083351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01330989" w14:textId="77777777" w:rsidR="00833514" w:rsidRPr="00F336C5" w:rsidRDefault="00833514" w:rsidP="00833514">
      <w:pPr>
        <w:widowControl w:val="0"/>
        <w:autoSpaceDE w:val="0"/>
        <w:autoSpaceDN w:val="0"/>
        <w:adjustRightInd w:val="0"/>
        <w:jc w:val="both"/>
        <w:rPr>
          <w:rFonts w:ascii="Arial" w:hAnsi="Arial"/>
          <w:color w:val="1C1C1C"/>
          <w:sz w:val="26"/>
          <w:szCs w:val="26"/>
        </w:rPr>
      </w:pPr>
    </w:p>
    <w:p w14:paraId="1E0186FE" w14:textId="77777777" w:rsidR="00833514" w:rsidRPr="005E1FF1" w:rsidRDefault="0083351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3BA476EC" w14:textId="77777777" w:rsidR="00833514" w:rsidRPr="005E1FF1" w:rsidRDefault="00833514">
      <w:pPr>
        <w:widowControl w:val="0"/>
        <w:autoSpaceDE w:val="0"/>
        <w:autoSpaceDN w:val="0"/>
        <w:adjustRightInd w:val="0"/>
        <w:jc w:val="both"/>
        <w:rPr>
          <w:rFonts w:ascii="Arial" w:hAnsi="Arial"/>
          <w:color w:val="1C1C1C"/>
          <w:sz w:val="26"/>
          <w:szCs w:val="26"/>
        </w:rPr>
      </w:pPr>
    </w:p>
    <w:p w14:paraId="2F730700" w14:textId="77777777" w:rsidR="00833514" w:rsidRPr="005E1FF1" w:rsidRDefault="0083351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AE06343" w14:textId="77777777" w:rsidR="00833514" w:rsidRPr="005E1FF1" w:rsidRDefault="00833514">
      <w:pPr>
        <w:rPr>
          <w:rFonts w:ascii="Arial" w:hAnsi="Arial"/>
          <w:b/>
          <w:color w:val="1C1C1C"/>
          <w:sz w:val="26"/>
          <w:szCs w:val="26"/>
        </w:rPr>
      </w:pPr>
    </w:p>
    <w:p w14:paraId="3D4D007E" w14:textId="77777777" w:rsidR="00833514" w:rsidRPr="00A51D9C" w:rsidRDefault="0083351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E18C50E" w14:textId="77777777" w:rsidR="00833514" w:rsidRPr="005E1FF1" w:rsidRDefault="00833514">
      <w:pPr>
        <w:rPr>
          <w:rFonts w:ascii="Arial" w:hAnsi="Arial"/>
          <w:b/>
          <w:color w:val="1C1C1C"/>
          <w:sz w:val="26"/>
          <w:szCs w:val="26"/>
        </w:rPr>
      </w:pPr>
    </w:p>
    <w:p w14:paraId="274C776A" w14:textId="77777777" w:rsidR="00833514" w:rsidRPr="005E1FF1" w:rsidRDefault="00833514">
      <w:pPr>
        <w:rPr>
          <w:rFonts w:ascii="Arial" w:hAnsi="Arial"/>
          <w:color w:val="1C1C1C"/>
          <w:sz w:val="26"/>
          <w:szCs w:val="26"/>
        </w:rPr>
      </w:pPr>
      <w:r w:rsidRPr="005E1FF1">
        <w:rPr>
          <w:rFonts w:ascii="Arial" w:hAnsi="Arial"/>
          <w:color w:val="1C1C1C"/>
          <w:sz w:val="26"/>
          <w:szCs w:val="26"/>
        </w:rPr>
        <w:t>Jean-Marie Tremblay, sociologue</w:t>
      </w:r>
    </w:p>
    <w:p w14:paraId="3B8DE25E" w14:textId="77777777" w:rsidR="00833514" w:rsidRPr="005E1FF1" w:rsidRDefault="00833514">
      <w:pPr>
        <w:rPr>
          <w:rFonts w:ascii="Arial" w:hAnsi="Arial"/>
          <w:color w:val="1C1C1C"/>
          <w:sz w:val="26"/>
          <w:szCs w:val="26"/>
        </w:rPr>
      </w:pPr>
      <w:r w:rsidRPr="005E1FF1">
        <w:rPr>
          <w:rFonts w:ascii="Arial" w:hAnsi="Arial"/>
          <w:color w:val="1C1C1C"/>
          <w:sz w:val="26"/>
          <w:szCs w:val="26"/>
        </w:rPr>
        <w:t>Fondateur et Président-directeur général,</w:t>
      </w:r>
    </w:p>
    <w:p w14:paraId="4D320737" w14:textId="77777777" w:rsidR="00833514" w:rsidRPr="005E1FF1" w:rsidRDefault="00833514">
      <w:pPr>
        <w:rPr>
          <w:rFonts w:ascii="Arial" w:hAnsi="Arial"/>
          <w:color w:val="000080"/>
        </w:rPr>
      </w:pPr>
      <w:r w:rsidRPr="005E1FF1">
        <w:rPr>
          <w:rFonts w:ascii="Arial" w:hAnsi="Arial"/>
          <w:color w:val="000080"/>
          <w:sz w:val="26"/>
          <w:szCs w:val="26"/>
        </w:rPr>
        <w:t>LES CLASSIQUES DES SCIENCES SOCIALES.</w:t>
      </w:r>
    </w:p>
    <w:p w14:paraId="134BA55F" w14:textId="77777777" w:rsidR="00833514" w:rsidRPr="00CF4C8E" w:rsidRDefault="00833514" w:rsidP="0083351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813DF90" w14:textId="77777777" w:rsidR="00833514" w:rsidRPr="00CF4C8E" w:rsidRDefault="00833514" w:rsidP="00833514">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D747E0B" w14:textId="77777777" w:rsidR="00833514" w:rsidRPr="00CF4C8E" w:rsidRDefault="00833514" w:rsidP="00833514">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9142098" w14:textId="77777777" w:rsidR="00833514" w:rsidRPr="00CF4C8E" w:rsidRDefault="00833514" w:rsidP="00833514">
      <w:pPr>
        <w:ind w:left="20" w:hanging="20"/>
        <w:jc w:val="both"/>
        <w:rPr>
          <w:sz w:val="24"/>
        </w:rPr>
      </w:pPr>
      <w:r w:rsidRPr="00CF4C8E">
        <w:rPr>
          <w:sz w:val="24"/>
        </w:rPr>
        <w:t>à partir du texte de :</w:t>
      </w:r>
    </w:p>
    <w:p w14:paraId="243354B1" w14:textId="77777777" w:rsidR="00833514" w:rsidRDefault="00833514" w:rsidP="00833514">
      <w:pPr>
        <w:ind w:firstLine="0"/>
        <w:rPr>
          <w:sz w:val="24"/>
        </w:rPr>
      </w:pPr>
    </w:p>
    <w:p w14:paraId="6044CC3C" w14:textId="77777777" w:rsidR="00833514" w:rsidRPr="0058603D" w:rsidRDefault="00833514" w:rsidP="00833514">
      <w:pPr>
        <w:ind w:right="720" w:firstLine="0"/>
        <w:rPr>
          <w:sz w:val="24"/>
        </w:rPr>
      </w:pPr>
    </w:p>
    <w:p w14:paraId="4A5C1401" w14:textId="77777777" w:rsidR="00833514" w:rsidRDefault="00833514" w:rsidP="00833514">
      <w:pPr>
        <w:ind w:left="20" w:hanging="20"/>
        <w:jc w:val="both"/>
        <w:rPr>
          <w:b/>
        </w:rPr>
      </w:pPr>
      <w:r>
        <w:rPr>
          <w:b/>
        </w:rPr>
        <w:t>Pierre PAQUETTE</w:t>
      </w:r>
    </w:p>
    <w:p w14:paraId="49784E05" w14:textId="77777777" w:rsidR="00833514" w:rsidRPr="0091157F" w:rsidRDefault="00833514" w:rsidP="00833514">
      <w:pPr>
        <w:ind w:left="20" w:hanging="20"/>
        <w:jc w:val="both"/>
      </w:pPr>
    </w:p>
    <w:p w14:paraId="2755DF9F" w14:textId="77777777" w:rsidR="00833514" w:rsidRPr="00F65F14" w:rsidRDefault="00833514" w:rsidP="00833514">
      <w:pPr>
        <w:ind w:hanging="20"/>
        <w:jc w:val="both"/>
        <w:rPr>
          <w:b/>
          <w:color w:val="FF0000"/>
        </w:rPr>
      </w:pPr>
      <w:r>
        <w:rPr>
          <w:b/>
          <w:color w:val="FF0000"/>
        </w:rPr>
        <w:t>“Le labyrinthe pétrolier.”</w:t>
      </w:r>
    </w:p>
    <w:p w14:paraId="2470AD61" w14:textId="77777777" w:rsidR="00833514" w:rsidRPr="0058603D" w:rsidRDefault="00833514">
      <w:pPr>
        <w:jc w:val="both"/>
        <w:rPr>
          <w:sz w:val="24"/>
        </w:rPr>
      </w:pPr>
    </w:p>
    <w:p w14:paraId="11B83B2E" w14:textId="77777777" w:rsidR="00833514" w:rsidRPr="00DF7756" w:rsidRDefault="00833514" w:rsidP="00833514">
      <w:pPr>
        <w:ind w:firstLine="0"/>
        <w:jc w:val="both"/>
      </w:pPr>
      <w:r>
        <w:t xml:space="preserve">In revue </w:t>
      </w:r>
      <w:r>
        <w:rPr>
          <w:b/>
          <w:i/>
        </w:rPr>
        <w:t>Interventions critiques en économie politique</w:t>
      </w:r>
      <w:r>
        <w:rPr>
          <w:i/>
        </w:rPr>
        <w:t>,</w:t>
      </w:r>
      <w:r>
        <w:t xml:space="preserve"> no 5, pri</w:t>
      </w:r>
      <w:r>
        <w:t>n</w:t>
      </w:r>
      <w:r>
        <w:t>temps-été 1980, pp. 99-119. Numéro intitulé “La crise.”</w:t>
      </w:r>
    </w:p>
    <w:p w14:paraId="63C31E7D" w14:textId="77777777" w:rsidR="00833514" w:rsidRDefault="00833514">
      <w:pPr>
        <w:jc w:val="both"/>
        <w:rPr>
          <w:sz w:val="24"/>
        </w:rPr>
      </w:pPr>
    </w:p>
    <w:p w14:paraId="4F7585E3" w14:textId="77777777" w:rsidR="00833514" w:rsidRPr="0058603D" w:rsidRDefault="00833514">
      <w:pPr>
        <w:jc w:val="both"/>
        <w:rPr>
          <w:sz w:val="24"/>
        </w:rPr>
      </w:pPr>
    </w:p>
    <w:p w14:paraId="6A9E458E" w14:textId="77777777" w:rsidR="00833514" w:rsidRDefault="00833514" w:rsidP="00833514">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54DF4E99" w14:textId="77777777" w:rsidR="00833514" w:rsidRPr="00384B20" w:rsidRDefault="00833514" w:rsidP="00833514">
      <w:pPr>
        <w:jc w:val="both"/>
        <w:rPr>
          <w:sz w:val="24"/>
        </w:rPr>
      </w:pPr>
    </w:p>
    <w:p w14:paraId="15D720A5" w14:textId="77777777" w:rsidR="00833514" w:rsidRPr="00596BDC" w:rsidRDefault="000968E2" w:rsidP="00833514">
      <w:pPr>
        <w:ind w:left="20" w:hanging="20"/>
        <w:rPr>
          <w:sz w:val="24"/>
        </w:rPr>
      </w:pPr>
      <w:r w:rsidRPr="00596BDC">
        <w:rPr>
          <w:noProof/>
          <w:sz w:val="24"/>
        </w:rPr>
        <w:drawing>
          <wp:inline distT="0" distB="0" distL="0" distR="0" wp14:anchorId="494BD49A" wp14:editId="7D27FFB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33514" w:rsidRPr="00596BDC">
        <w:rPr>
          <w:sz w:val="24"/>
        </w:rPr>
        <w:t xml:space="preserve"> Courriel : Diane-Gabrielle Tremblay : </w:t>
      </w:r>
      <w:hyperlink r:id="rId15" w:history="1">
        <w:r w:rsidR="00833514" w:rsidRPr="00596BDC">
          <w:rPr>
            <w:rStyle w:val="Hyperlien"/>
            <w:sz w:val="24"/>
          </w:rPr>
          <w:t>Diane-Gabrielle.Tremblay@teluq.ca</w:t>
        </w:r>
      </w:hyperlink>
      <w:r w:rsidR="00833514" w:rsidRPr="00596BDC">
        <w:rPr>
          <w:sz w:val="24"/>
        </w:rPr>
        <w:t xml:space="preserve"> </w:t>
      </w:r>
    </w:p>
    <w:p w14:paraId="790C2458" w14:textId="77777777" w:rsidR="00833514" w:rsidRDefault="00833514" w:rsidP="00833514">
      <w:pPr>
        <w:ind w:right="1800" w:firstLine="0"/>
        <w:jc w:val="both"/>
        <w:rPr>
          <w:sz w:val="24"/>
        </w:rPr>
      </w:pPr>
      <w:r w:rsidRPr="00E84857">
        <w:rPr>
          <w:sz w:val="24"/>
        </w:rPr>
        <w:t>Professeure École des sciences de l'administration</w:t>
      </w:r>
    </w:p>
    <w:p w14:paraId="61DB2BF8" w14:textId="77777777" w:rsidR="00833514" w:rsidRDefault="00833514" w:rsidP="00833514">
      <w:pPr>
        <w:ind w:right="1800" w:firstLine="0"/>
        <w:jc w:val="both"/>
        <w:rPr>
          <w:sz w:val="24"/>
        </w:rPr>
      </w:pPr>
      <w:r w:rsidRPr="00E84857">
        <w:rPr>
          <w:sz w:val="24"/>
        </w:rPr>
        <w:t>Unive</w:t>
      </w:r>
      <w:r w:rsidRPr="00E84857">
        <w:rPr>
          <w:sz w:val="24"/>
        </w:rPr>
        <w:t>r</w:t>
      </w:r>
      <w:r w:rsidRPr="00E84857">
        <w:rPr>
          <w:sz w:val="24"/>
        </w:rPr>
        <w:t>sité TÉLUQ</w:t>
      </w:r>
    </w:p>
    <w:p w14:paraId="3032A76E" w14:textId="77777777" w:rsidR="00833514" w:rsidRDefault="00833514" w:rsidP="00833514">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224DF4BD" w14:textId="77777777" w:rsidR="00833514" w:rsidRPr="0058603D" w:rsidRDefault="00833514">
      <w:pPr>
        <w:ind w:right="1800"/>
        <w:jc w:val="both"/>
        <w:rPr>
          <w:sz w:val="24"/>
        </w:rPr>
      </w:pPr>
    </w:p>
    <w:p w14:paraId="23B2BEF8" w14:textId="77777777" w:rsidR="00833514" w:rsidRPr="00753781" w:rsidRDefault="00833514" w:rsidP="00833514">
      <w:pPr>
        <w:ind w:right="1800" w:firstLine="0"/>
        <w:jc w:val="both"/>
        <w:rPr>
          <w:sz w:val="24"/>
        </w:rPr>
      </w:pPr>
      <w:r>
        <w:rPr>
          <w:sz w:val="24"/>
        </w:rPr>
        <w:t>Police de caractères utilisés</w:t>
      </w:r>
      <w:r w:rsidRPr="00753781">
        <w:rPr>
          <w:sz w:val="24"/>
        </w:rPr>
        <w:t> :</w:t>
      </w:r>
    </w:p>
    <w:p w14:paraId="1B54EE70" w14:textId="77777777" w:rsidR="00833514" w:rsidRPr="00753781" w:rsidRDefault="00833514" w:rsidP="00833514">
      <w:pPr>
        <w:ind w:right="1800" w:firstLine="0"/>
        <w:jc w:val="both"/>
        <w:rPr>
          <w:sz w:val="24"/>
        </w:rPr>
      </w:pPr>
    </w:p>
    <w:p w14:paraId="244BF6F6" w14:textId="77777777" w:rsidR="00833514" w:rsidRPr="00753781" w:rsidRDefault="00833514" w:rsidP="00833514">
      <w:pPr>
        <w:ind w:left="360" w:right="360" w:firstLine="0"/>
        <w:jc w:val="both"/>
        <w:rPr>
          <w:sz w:val="24"/>
        </w:rPr>
      </w:pPr>
      <w:r w:rsidRPr="00753781">
        <w:rPr>
          <w:sz w:val="24"/>
        </w:rPr>
        <w:t>Pour le texte: Times New Roman, 14 points.</w:t>
      </w:r>
    </w:p>
    <w:p w14:paraId="114DFEA8" w14:textId="77777777" w:rsidR="00833514" w:rsidRPr="00753781" w:rsidRDefault="00833514" w:rsidP="00833514">
      <w:pPr>
        <w:ind w:left="360" w:right="360" w:firstLine="0"/>
        <w:jc w:val="both"/>
        <w:rPr>
          <w:sz w:val="24"/>
        </w:rPr>
      </w:pPr>
      <w:r w:rsidRPr="00753781">
        <w:rPr>
          <w:sz w:val="24"/>
        </w:rPr>
        <w:t>Pour les notes de bas de page : Times New Roman, 12 points.</w:t>
      </w:r>
    </w:p>
    <w:p w14:paraId="782F2ADA" w14:textId="77777777" w:rsidR="00833514" w:rsidRPr="00753781" w:rsidRDefault="00833514" w:rsidP="00833514">
      <w:pPr>
        <w:ind w:left="360" w:right="1800" w:firstLine="0"/>
        <w:jc w:val="both"/>
        <w:rPr>
          <w:sz w:val="24"/>
        </w:rPr>
      </w:pPr>
    </w:p>
    <w:p w14:paraId="448BD366" w14:textId="77777777" w:rsidR="00833514" w:rsidRPr="00753781" w:rsidRDefault="00833514" w:rsidP="00833514">
      <w:pPr>
        <w:ind w:right="360" w:firstLine="0"/>
        <w:jc w:val="both"/>
        <w:rPr>
          <w:sz w:val="24"/>
        </w:rPr>
      </w:pPr>
      <w:r w:rsidRPr="00753781">
        <w:rPr>
          <w:sz w:val="24"/>
        </w:rPr>
        <w:t>Édition électronique réalisée avec le traitement de textes Microsoft Word 2008 pour Macintosh.</w:t>
      </w:r>
    </w:p>
    <w:p w14:paraId="4339C09A" w14:textId="77777777" w:rsidR="00833514" w:rsidRPr="00753781" w:rsidRDefault="00833514" w:rsidP="00833514">
      <w:pPr>
        <w:ind w:right="1800" w:firstLine="0"/>
        <w:jc w:val="both"/>
        <w:rPr>
          <w:sz w:val="24"/>
        </w:rPr>
      </w:pPr>
    </w:p>
    <w:p w14:paraId="199EB7E7" w14:textId="77777777" w:rsidR="00833514" w:rsidRPr="00753781" w:rsidRDefault="00833514" w:rsidP="00833514">
      <w:pPr>
        <w:ind w:right="540" w:firstLine="0"/>
        <w:jc w:val="both"/>
        <w:rPr>
          <w:sz w:val="24"/>
        </w:rPr>
      </w:pPr>
      <w:r w:rsidRPr="00753781">
        <w:rPr>
          <w:sz w:val="24"/>
        </w:rPr>
        <w:t>Mise en page sur papier format : LETTRE US, 8.5’’ x 11’’.</w:t>
      </w:r>
    </w:p>
    <w:p w14:paraId="7901D83B" w14:textId="77777777" w:rsidR="00833514" w:rsidRPr="00753781" w:rsidRDefault="00833514" w:rsidP="00833514">
      <w:pPr>
        <w:ind w:right="1800" w:firstLine="0"/>
        <w:jc w:val="both"/>
        <w:rPr>
          <w:sz w:val="24"/>
        </w:rPr>
      </w:pPr>
    </w:p>
    <w:p w14:paraId="56D13BEE" w14:textId="77777777" w:rsidR="00833514" w:rsidRPr="00753781" w:rsidRDefault="00833514" w:rsidP="00833514">
      <w:pPr>
        <w:ind w:firstLine="0"/>
        <w:jc w:val="both"/>
        <w:rPr>
          <w:sz w:val="24"/>
        </w:rPr>
      </w:pPr>
      <w:r w:rsidRPr="00753781">
        <w:rPr>
          <w:sz w:val="24"/>
        </w:rPr>
        <w:t xml:space="preserve">Édition numérique réalisée le </w:t>
      </w:r>
      <w:r>
        <w:rPr>
          <w:sz w:val="24"/>
        </w:rPr>
        <w:t>16 octobre 2023</w:t>
      </w:r>
      <w:r w:rsidRPr="00753781">
        <w:rPr>
          <w:sz w:val="24"/>
        </w:rPr>
        <w:t xml:space="preserve"> à Chicoutimi, Québec.</w:t>
      </w:r>
    </w:p>
    <w:p w14:paraId="33F4F3E7" w14:textId="77777777" w:rsidR="00833514" w:rsidRDefault="00833514">
      <w:pPr>
        <w:ind w:right="1800" w:firstLine="0"/>
        <w:jc w:val="both"/>
        <w:rPr>
          <w:sz w:val="22"/>
        </w:rPr>
      </w:pPr>
    </w:p>
    <w:p w14:paraId="573DA19C" w14:textId="77777777" w:rsidR="00833514" w:rsidRDefault="000968E2">
      <w:pPr>
        <w:ind w:right="1800" w:firstLine="0"/>
        <w:jc w:val="both"/>
      </w:pPr>
      <w:r>
        <w:rPr>
          <w:noProof/>
        </w:rPr>
        <w:drawing>
          <wp:inline distT="0" distB="0" distL="0" distR="0" wp14:anchorId="028A25A4" wp14:editId="08D2B85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26DBC74" w14:textId="77777777" w:rsidR="00833514" w:rsidRDefault="00833514" w:rsidP="00833514">
      <w:pPr>
        <w:ind w:left="20"/>
        <w:jc w:val="both"/>
      </w:pPr>
      <w:r>
        <w:br w:type="page"/>
      </w:r>
    </w:p>
    <w:p w14:paraId="76E3A5B9" w14:textId="77777777" w:rsidR="00833514" w:rsidRDefault="00833514" w:rsidP="00833514">
      <w:pPr>
        <w:ind w:firstLine="0"/>
        <w:jc w:val="center"/>
        <w:rPr>
          <w:b/>
          <w:lang w:bidi="ar-SA"/>
        </w:rPr>
      </w:pPr>
      <w:r>
        <w:rPr>
          <w:b/>
          <w:lang w:bidi="ar-SA"/>
        </w:rPr>
        <w:t>Pierre PAQUETTE</w:t>
      </w:r>
    </w:p>
    <w:p w14:paraId="1659A684" w14:textId="77777777" w:rsidR="00833514" w:rsidRDefault="00833514" w:rsidP="00833514">
      <w:pPr>
        <w:ind w:firstLine="0"/>
        <w:jc w:val="center"/>
        <w:rPr>
          <w:lang w:bidi="ar-SA"/>
        </w:rPr>
      </w:pPr>
    </w:p>
    <w:p w14:paraId="0855D69F" w14:textId="77777777" w:rsidR="00833514" w:rsidRPr="00281A82" w:rsidRDefault="00833514" w:rsidP="00833514">
      <w:pPr>
        <w:ind w:firstLine="0"/>
        <w:jc w:val="center"/>
        <w:rPr>
          <w:color w:val="000090"/>
          <w:sz w:val="36"/>
          <w:lang w:bidi="ar-SA"/>
        </w:rPr>
      </w:pPr>
      <w:r w:rsidRPr="00281A82">
        <w:rPr>
          <w:color w:val="000090"/>
          <w:sz w:val="36"/>
          <w:lang w:bidi="ar-SA"/>
        </w:rPr>
        <w:t>“Le labyrinthe pétrolier.”</w:t>
      </w:r>
    </w:p>
    <w:p w14:paraId="60173BDF" w14:textId="77777777" w:rsidR="00833514" w:rsidRPr="00C054BF" w:rsidRDefault="00833514" w:rsidP="00833514">
      <w:pPr>
        <w:ind w:firstLine="0"/>
        <w:jc w:val="center"/>
        <w:rPr>
          <w:lang w:bidi="ar-SA"/>
        </w:rPr>
      </w:pPr>
    </w:p>
    <w:p w14:paraId="7660B6FF" w14:textId="77777777" w:rsidR="00833514" w:rsidRPr="00C054BF" w:rsidRDefault="000968E2" w:rsidP="00833514">
      <w:pPr>
        <w:ind w:firstLine="0"/>
        <w:jc w:val="center"/>
        <w:rPr>
          <w:lang w:bidi="ar-SA"/>
        </w:rPr>
      </w:pPr>
      <w:r>
        <w:rPr>
          <w:noProof/>
          <w:lang w:bidi="ar-SA"/>
        </w:rPr>
        <w:drawing>
          <wp:inline distT="0" distB="0" distL="0" distR="0" wp14:anchorId="16F7423F" wp14:editId="26B5246D">
            <wp:extent cx="3314700" cy="53086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4700" cy="5308600"/>
                    </a:xfrm>
                    <a:prstGeom prst="rect">
                      <a:avLst/>
                    </a:prstGeom>
                    <a:noFill/>
                    <a:ln w="12700" cmpd="sng">
                      <a:solidFill>
                        <a:srgbClr val="000000"/>
                      </a:solidFill>
                      <a:miter lim="800000"/>
                      <a:headEnd/>
                      <a:tailEnd/>
                    </a:ln>
                    <a:effectLst/>
                  </pic:spPr>
                </pic:pic>
              </a:graphicData>
            </a:graphic>
          </wp:inline>
        </w:drawing>
      </w:r>
    </w:p>
    <w:p w14:paraId="77593E6F" w14:textId="77777777" w:rsidR="00833514" w:rsidRDefault="00833514" w:rsidP="00833514">
      <w:pPr>
        <w:spacing w:before="120"/>
        <w:jc w:val="both"/>
      </w:pPr>
      <w:r>
        <w:t xml:space="preserve">In revue </w:t>
      </w:r>
      <w:r>
        <w:rPr>
          <w:b/>
          <w:i/>
        </w:rPr>
        <w:t>Interventions critiques en économie politique</w:t>
      </w:r>
      <w:r>
        <w:rPr>
          <w:i/>
        </w:rPr>
        <w:t>,</w:t>
      </w:r>
      <w:r>
        <w:t xml:space="preserve"> no 5, pri</w:t>
      </w:r>
      <w:r>
        <w:t>n</w:t>
      </w:r>
      <w:r>
        <w:t>temps-été 1980, pp. 99-119. Numéro intitulé “La crise.”</w:t>
      </w:r>
    </w:p>
    <w:p w14:paraId="35BD1472" w14:textId="77777777" w:rsidR="00833514" w:rsidRPr="00E07116" w:rsidRDefault="00833514" w:rsidP="00833514">
      <w:pPr>
        <w:jc w:val="both"/>
      </w:pPr>
      <w:r>
        <w:br w:type="page"/>
      </w:r>
    </w:p>
    <w:p w14:paraId="31C63773" w14:textId="77777777" w:rsidR="00833514" w:rsidRPr="00E07116" w:rsidRDefault="00833514" w:rsidP="00833514">
      <w:pPr>
        <w:spacing w:before="120" w:after="120"/>
        <w:jc w:val="both"/>
      </w:pPr>
    </w:p>
    <w:p w14:paraId="1C4A0F0C" w14:textId="77777777" w:rsidR="00833514" w:rsidRPr="00E07116" w:rsidRDefault="00833514" w:rsidP="00833514">
      <w:pPr>
        <w:jc w:val="both"/>
      </w:pPr>
    </w:p>
    <w:p w14:paraId="602FF1C9" w14:textId="77777777" w:rsidR="00833514" w:rsidRPr="00E07116" w:rsidRDefault="00833514" w:rsidP="00833514">
      <w:pPr>
        <w:jc w:val="both"/>
      </w:pPr>
    </w:p>
    <w:p w14:paraId="2A5B8F3A" w14:textId="77777777" w:rsidR="00833514" w:rsidRPr="00E07116" w:rsidRDefault="00833514" w:rsidP="00833514">
      <w:pPr>
        <w:jc w:val="both"/>
      </w:pPr>
    </w:p>
    <w:p w14:paraId="15926A6E" w14:textId="77777777" w:rsidR="00833514" w:rsidRPr="00E07116" w:rsidRDefault="00833514" w:rsidP="0083351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D09C6F1" w14:textId="77777777" w:rsidR="00833514" w:rsidRPr="00E07116" w:rsidRDefault="00833514" w:rsidP="00833514">
      <w:pPr>
        <w:pStyle w:val="NormalWeb"/>
        <w:spacing w:before="2" w:after="2"/>
        <w:jc w:val="both"/>
        <w:rPr>
          <w:rFonts w:ascii="Times New Roman" w:hAnsi="Times New Roman"/>
          <w:sz w:val="28"/>
        </w:rPr>
      </w:pPr>
    </w:p>
    <w:p w14:paraId="6B21E23E" w14:textId="77777777" w:rsidR="00833514" w:rsidRPr="00E07116" w:rsidRDefault="00833514" w:rsidP="0083351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DF1446F" w14:textId="77777777" w:rsidR="00833514" w:rsidRPr="00E07116" w:rsidRDefault="00833514" w:rsidP="00833514">
      <w:pPr>
        <w:jc w:val="both"/>
        <w:rPr>
          <w:szCs w:val="19"/>
        </w:rPr>
      </w:pPr>
    </w:p>
    <w:p w14:paraId="7BDB1CFA" w14:textId="77777777" w:rsidR="00833514" w:rsidRPr="00E07116" w:rsidRDefault="00833514" w:rsidP="00833514">
      <w:pPr>
        <w:jc w:val="both"/>
        <w:rPr>
          <w:szCs w:val="19"/>
        </w:rPr>
      </w:pPr>
    </w:p>
    <w:p w14:paraId="1FF3AE0A" w14:textId="77777777" w:rsidR="00833514" w:rsidRDefault="00833514" w:rsidP="00833514">
      <w:pPr>
        <w:pStyle w:val="p"/>
      </w:pPr>
      <w:r w:rsidRPr="00E07116">
        <w:br w:type="page"/>
      </w:r>
      <w:r>
        <w:lastRenderedPageBreak/>
        <w:t>[4]</w:t>
      </w:r>
    </w:p>
    <w:p w14:paraId="62687BFD" w14:textId="77777777" w:rsidR="00833514" w:rsidRDefault="00833514">
      <w:pPr>
        <w:jc w:val="both"/>
      </w:pPr>
    </w:p>
    <w:p w14:paraId="5D698841" w14:textId="77777777" w:rsidR="00833514" w:rsidRDefault="00833514">
      <w:pPr>
        <w:jc w:val="both"/>
      </w:pPr>
    </w:p>
    <w:p w14:paraId="349CFC4E" w14:textId="77777777" w:rsidR="00833514" w:rsidRPr="00C054BF" w:rsidRDefault="00833514" w:rsidP="00833514">
      <w:pPr>
        <w:ind w:firstLine="0"/>
        <w:jc w:val="center"/>
        <w:rPr>
          <w:lang w:bidi="ar-SA"/>
        </w:rPr>
      </w:pPr>
      <w:bookmarkStart w:id="0" w:name="tdm"/>
      <w:r w:rsidRPr="00507704">
        <w:rPr>
          <w:b/>
          <w:lang w:bidi="ar-SA"/>
        </w:rPr>
        <w:t>Interventions</w:t>
      </w:r>
      <w:r>
        <w:rPr>
          <w:lang w:bidi="ar-SA"/>
        </w:rPr>
        <w:br/>
        <w:t>critiques en économie politique</w:t>
      </w:r>
    </w:p>
    <w:p w14:paraId="05881C3F" w14:textId="77777777" w:rsidR="00833514" w:rsidRPr="005F3CF4" w:rsidRDefault="00833514" w:rsidP="00833514">
      <w:pPr>
        <w:spacing w:after="120"/>
        <w:ind w:firstLine="0"/>
        <w:jc w:val="center"/>
        <w:rPr>
          <w:b/>
          <w:sz w:val="24"/>
        </w:rPr>
      </w:pPr>
      <w:r w:rsidRPr="005F3CF4">
        <w:rPr>
          <w:b/>
          <w:sz w:val="24"/>
        </w:rPr>
        <w:t xml:space="preserve">No </w:t>
      </w:r>
      <w:r>
        <w:rPr>
          <w:b/>
          <w:sz w:val="24"/>
        </w:rPr>
        <w:t>5</w:t>
      </w:r>
    </w:p>
    <w:p w14:paraId="51B0638B" w14:textId="77777777" w:rsidR="00833514" w:rsidRDefault="00833514" w:rsidP="00833514">
      <w:pPr>
        <w:ind w:firstLine="20"/>
        <w:jc w:val="center"/>
      </w:pPr>
      <w:bookmarkStart w:id="1" w:name="sommaire"/>
      <w:bookmarkEnd w:id="0"/>
      <w:r>
        <w:rPr>
          <w:color w:val="FF0000"/>
          <w:sz w:val="48"/>
        </w:rPr>
        <w:t>Sommaire</w:t>
      </w:r>
    </w:p>
    <w:bookmarkEnd w:id="1"/>
    <w:p w14:paraId="76E7B059" w14:textId="77777777" w:rsidR="00833514" w:rsidRDefault="00833514">
      <w:pPr>
        <w:ind w:firstLine="0"/>
      </w:pPr>
    </w:p>
    <w:p w14:paraId="316532E8" w14:textId="77777777" w:rsidR="00833514" w:rsidRDefault="00833514">
      <w:pPr>
        <w:ind w:firstLine="0"/>
      </w:pPr>
    </w:p>
    <w:p w14:paraId="125EA967" w14:textId="77777777" w:rsidR="00833514" w:rsidRDefault="00833514" w:rsidP="00833514">
      <w:pPr>
        <w:spacing w:before="120" w:after="120"/>
        <w:ind w:left="900" w:hanging="360"/>
        <w:jc w:val="both"/>
        <w:rPr>
          <w:sz w:val="24"/>
        </w:rPr>
      </w:pPr>
      <w:hyperlink w:anchor="Interv_no_5_Dossier_La_crise_texte_3" w:history="1">
        <w:r w:rsidRPr="00F83CCD">
          <w:rPr>
            <w:rStyle w:val="Hyperlien"/>
            <w:sz w:val="24"/>
          </w:rPr>
          <w:t>Le labyrinthe pétrolier</w:t>
        </w:r>
      </w:hyperlink>
      <w:r>
        <w:rPr>
          <w:sz w:val="24"/>
        </w:rPr>
        <w:t xml:space="preserve">, par </w:t>
      </w:r>
      <w:r w:rsidRPr="00F623D5">
        <w:rPr>
          <w:sz w:val="24"/>
        </w:rPr>
        <w:t>Pierre Paquette</w:t>
      </w:r>
      <w:r>
        <w:rPr>
          <w:sz w:val="24"/>
        </w:rPr>
        <w:t xml:space="preserve"> [9</w:t>
      </w:r>
      <w:r w:rsidRPr="00F623D5">
        <w:rPr>
          <w:sz w:val="24"/>
        </w:rPr>
        <w:t>9</w:t>
      </w:r>
      <w:r>
        <w:rPr>
          <w:sz w:val="24"/>
        </w:rPr>
        <w:t>]</w:t>
      </w:r>
    </w:p>
    <w:p w14:paraId="549593F5" w14:textId="77777777" w:rsidR="00833514" w:rsidRDefault="00833514" w:rsidP="00833514">
      <w:pPr>
        <w:ind w:left="1267" w:hanging="360"/>
        <w:jc w:val="both"/>
        <w:rPr>
          <w:sz w:val="24"/>
        </w:rPr>
      </w:pPr>
      <w:r>
        <w:rPr>
          <w:sz w:val="24"/>
        </w:rPr>
        <w:t>1945-1970 : vers un nouveau partage de la v</w:t>
      </w:r>
      <w:r>
        <w:rPr>
          <w:sz w:val="24"/>
        </w:rPr>
        <w:t>a</w:t>
      </w:r>
      <w:r>
        <w:rPr>
          <w:sz w:val="24"/>
        </w:rPr>
        <w:t>leur de pétrole [99]</w:t>
      </w:r>
    </w:p>
    <w:p w14:paraId="0959F90C" w14:textId="77777777" w:rsidR="00833514" w:rsidRDefault="00833514" w:rsidP="00833514">
      <w:pPr>
        <w:ind w:left="1267" w:hanging="360"/>
        <w:jc w:val="both"/>
        <w:rPr>
          <w:sz w:val="24"/>
        </w:rPr>
      </w:pPr>
      <w:r>
        <w:rPr>
          <w:sz w:val="24"/>
        </w:rPr>
        <w:t>1971-1980 : crise du pétrole ou crise du capit</w:t>
      </w:r>
      <w:r>
        <w:rPr>
          <w:sz w:val="24"/>
        </w:rPr>
        <w:t>a</w:t>
      </w:r>
      <w:r>
        <w:rPr>
          <w:sz w:val="24"/>
        </w:rPr>
        <w:t>lisme ? [106]</w:t>
      </w:r>
    </w:p>
    <w:p w14:paraId="5BB3E912" w14:textId="77777777" w:rsidR="00833514" w:rsidRDefault="00833514" w:rsidP="00833514">
      <w:pPr>
        <w:ind w:left="1267" w:hanging="360"/>
        <w:jc w:val="both"/>
        <w:rPr>
          <w:sz w:val="24"/>
        </w:rPr>
      </w:pPr>
      <w:r>
        <w:rPr>
          <w:sz w:val="24"/>
        </w:rPr>
        <w:t>Le problème du pétrole au Canada [115]</w:t>
      </w:r>
    </w:p>
    <w:p w14:paraId="20013BB8" w14:textId="77777777" w:rsidR="00833514" w:rsidRPr="00BF0B10" w:rsidRDefault="00833514" w:rsidP="00833514">
      <w:pPr>
        <w:pStyle w:val="p"/>
      </w:pPr>
      <w:r>
        <w:br w:type="page"/>
      </w:r>
      <w:r>
        <w:lastRenderedPageBreak/>
        <w:t>[99]</w:t>
      </w:r>
    </w:p>
    <w:p w14:paraId="6A5CD610" w14:textId="77777777" w:rsidR="00833514" w:rsidRPr="00E07116" w:rsidRDefault="00833514" w:rsidP="00833514">
      <w:pPr>
        <w:jc w:val="both"/>
      </w:pPr>
    </w:p>
    <w:p w14:paraId="068D03F3" w14:textId="77777777" w:rsidR="00833514" w:rsidRPr="00E07116" w:rsidRDefault="00833514" w:rsidP="00833514">
      <w:pPr>
        <w:jc w:val="both"/>
      </w:pPr>
    </w:p>
    <w:p w14:paraId="6ADD3679" w14:textId="77777777" w:rsidR="00833514" w:rsidRDefault="00833514" w:rsidP="00833514">
      <w:pPr>
        <w:spacing w:after="120"/>
        <w:ind w:firstLine="0"/>
        <w:jc w:val="center"/>
        <w:rPr>
          <w:sz w:val="24"/>
        </w:rPr>
      </w:pPr>
      <w:bookmarkStart w:id="2" w:name="Interv_no_5_Dossier_La_crise_texte_3"/>
      <w:r>
        <w:rPr>
          <w:b/>
          <w:sz w:val="24"/>
        </w:rPr>
        <w:t>Interventions économiques</w:t>
      </w:r>
      <w:r>
        <w:rPr>
          <w:b/>
          <w:sz w:val="24"/>
        </w:rPr>
        <w:br/>
      </w:r>
      <w:r>
        <w:rPr>
          <w:i/>
          <w:sz w:val="24"/>
        </w:rPr>
        <w:t>pour une alternative sociale</w:t>
      </w:r>
    </w:p>
    <w:p w14:paraId="437FBED0" w14:textId="77777777" w:rsidR="00833514" w:rsidRPr="005F3CF4" w:rsidRDefault="00833514" w:rsidP="00833514">
      <w:pPr>
        <w:spacing w:after="120"/>
        <w:ind w:firstLine="0"/>
        <w:jc w:val="center"/>
        <w:rPr>
          <w:b/>
          <w:sz w:val="24"/>
        </w:rPr>
      </w:pPr>
      <w:r w:rsidRPr="005F3CF4">
        <w:rPr>
          <w:b/>
          <w:sz w:val="24"/>
        </w:rPr>
        <w:t xml:space="preserve">No </w:t>
      </w:r>
      <w:r>
        <w:rPr>
          <w:b/>
          <w:sz w:val="24"/>
        </w:rPr>
        <w:t>5</w:t>
      </w:r>
    </w:p>
    <w:p w14:paraId="16C7F8F9" w14:textId="77777777" w:rsidR="00833514" w:rsidRPr="008376BE" w:rsidRDefault="00833514" w:rsidP="00833514">
      <w:pPr>
        <w:spacing w:after="120"/>
        <w:ind w:firstLine="0"/>
        <w:jc w:val="center"/>
        <w:rPr>
          <w:b/>
          <w:color w:val="FF0000"/>
          <w:sz w:val="24"/>
        </w:rPr>
      </w:pPr>
      <w:r>
        <w:rPr>
          <w:b/>
          <w:color w:val="FF0000"/>
          <w:sz w:val="24"/>
        </w:rPr>
        <w:t>DOSSIER : LA CRSE</w:t>
      </w:r>
    </w:p>
    <w:p w14:paraId="10A71FE8" w14:textId="77777777" w:rsidR="00833514" w:rsidRDefault="00833514" w:rsidP="00833514">
      <w:pPr>
        <w:pStyle w:val="planchenb"/>
        <w:rPr>
          <w:color w:val="auto"/>
          <w:sz w:val="44"/>
        </w:rPr>
      </w:pPr>
      <w:r w:rsidRPr="00890E45">
        <w:rPr>
          <w:color w:val="auto"/>
          <w:sz w:val="44"/>
        </w:rPr>
        <w:t>“</w:t>
      </w:r>
      <w:r>
        <w:rPr>
          <w:color w:val="auto"/>
          <w:sz w:val="44"/>
        </w:rPr>
        <w:t>Le labyrinthe pétrolier</w:t>
      </w:r>
      <w:r w:rsidRPr="00890E45">
        <w:rPr>
          <w:color w:val="auto"/>
          <w:sz w:val="44"/>
        </w:rPr>
        <w:t>.</w:t>
      </w:r>
      <w:r>
        <w:rPr>
          <w:color w:val="auto"/>
          <w:sz w:val="44"/>
        </w:rPr>
        <w:t>”</w:t>
      </w:r>
    </w:p>
    <w:bookmarkEnd w:id="2"/>
    <w:p w14:paraId="767FCAA4" w14:textId="77777777" w:rsidR="00833514" w:rsidRDefault="00833514" w:rsidP="00833514">
      <w:pPr>
        <w:jc w:val="both"/>
      </w:pPr>
    </w:p>
    <w:p w14:paraId="1F8DDABC" w14:textId="77777777" w:rsidR="00833514" w:rsidRPr="00E07116" w:rsidRDefault="00833514" w:rsidP="00833514">
      <w:pPr>
        <w:jc w:val="both"/>
      </w:pPr>
    </w:p>
    <w:p w14:paraId="200D1A2B" w14:textId="77777777" w:rsidR="00833514" w:rsidRPr="00E07116" w:rsidRDefault="00833514" w:rsidP="00833514">
      <w:pPr>
        <w:pStyle w:val="suite"/>
      </w:pPr>
      <w:r>
        <w:t>Pierre PAQUETTE</w:t>
      </w:r>
    </w:p>
    <w:p w14:paraId="31B19C1E" w14:textId="77777777" w:rsidR="00833514" w:rsidRDefault="00833514" w:rsidP="00833514">
      <w:pPr>
        <w:jc w:val="both"/>
      </w:pPr>
    </w:p>
    <w:p w14:paraId="05BF0318" w14:textId="77777777" w:rsidR="00833514" w:rsidRPr="00384B20" w:rsidRDefault="00833514" w:rsidP="00833514">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BE65B2E" w14:textId="77777777" w:rsidR="00833514" w:rsidRPr="00C57F5E" w:rsidRDefault="00833514" w:rsidP="00833514">
      <w:pPr>
        <w:spacing w:before="120" w:after="120"/>
        <w:jc w:val="both"/>
      </w:pPr>
      <w:r w:rsidRPr="00C57F5E">
        <w:rPr>
          <w:lang w:eastAsia="fr-FR" w:bidi="fr-FR"/>
        </w:rPr>
        <w:t>Chaque jour nous sommes bombardés d’information contr</w:t>
      </w:r>
      <w:r w:rsidRPr="00C57F5E">
        <w:rPr>
          <w:lang w:eastAsia="fr-FR" w:bidi="fr-FR"/>
        </w:rPr>
        <w:t>a</w:t>
      </w:r>
      <w:r w:rsidRPr="00C57F5E">
        <w:rPr>
          <w:lang w:eastAsia="fr-FR" w:bidi="fr-FR"/>
        </w:rPr>
        <w:t>dictoire sur la situation énergétique, particulièrement en ce qui concerne le pétrole. Les mythes qu’entretiennent les mass m</w:t>
      </w:r>
      <w:r w:rsidRPr="00C57F5E">
        <w:rPr>
          <w:lang w:eastAsia="fr-FR" w:bidi="fr-FR"/>
        </w:rPr>
        <w:t>e</w:t>
      </w:r>
      <w:r w:rsidRPr="00C57F5E">
        <w:rPr>
          <w:lang w:eastAsia="fr-FR" w:bidi="fr-FR"/>
        </w:rPr>
        <w:t>dia bourgeois ont la vie longue</w:t>
      </w:r>
      <w:r w:rsidRPr="00C57F5E">
        <w:t> :</w:t>
      </w:r>
      <w:r w:rsidRPr="00C57F5E">
        <w:rPr>
          <w:lang w:eastAsia="fr-FR" w:bidi="fr-FR"/>
        </w:rPr>
        <w:t xml:space="preserve"> l’excédent de l’OPEP menace l’économie du reste du monde </w:t>
      </w:r>
      <w:r>
        <w:rPr>
          <w:lang w:eastAsia="fr-FR" w:bidi="fr-FR"/>
        </w:rPr>
        <w:t>(</w:t>
      </w:r>
      <w:r w:rsidRPr="001E634A">
        <w:rPr>
          <w:u w:val="single"/>
        </w:rPr>
        <w:t>La Presse</w:t>
      </w:r>
      <w:r w:rsidRPr="00C57F5E">
        <w:t xml:space="preserve">, </w:t>
      </w:r>
      <w:r w:rsidRPr="00C57F5E">
        <w:rPr>
          <w:lang w:eastAsia="fr-FR" w:bidi="fr-FR"/>
        </w:rPr>
        <w:t>15 janvier 1980)</w:t>
      </w:r>
      <w:r w:rsidRPr="00C57F5E">
        <w:t> ;</w:t>
      </w:r>
      <w:r w:rsidRPr="00C57F5E">
        <w:rPr>
          <w:lang w:eastAsia="fr-FR" w:bidi="fr-FR"/>
        </w:rPr>
        <w:t xml:space="preserve"> l’OPEP ne suffira plus en 1995 </w:t>
      </w:r>
      <w:r>
        <w:rPr>
          <w:lang w:eastAsia="fr-FR" w:bidi="fr-FR"/>
        </w:rPr>
        <w:t>(</w:t>
      </w:r>
      <w:r w:rsidRPr="001E634A">
        <w:rPr>
          <w:u w:val="single"/>
        </w:rPr>
        <w:t>Le Devoir</w:t>
      </w:r>
      <w:r w:rsidRPr="00C57F5E">
        <w:t xml:space="preserve">, </w:t>
      </w:r>
      <w:r w:rsidRPr="00C57F5E">
        <w:rPr>
          <w:lang w:eastAsia="fr-FR" w:bidi="fr-FR"/>
        </w:rPr>
        <w:t>26 février 1980)...</w:t>
      </w:r>
    </w:p>
    <w:p w14:paraId="1F44B4AD" w14:textId="77777777" w:rsidR="00833514" w:rsidRPr="00C57F5E" w:rsidRDefault="00833514" w:rsidP="00833514">
      <w:pPr>
        <w:spacing w:before="120" w:after="120"/>
        <w:jc w:val="both"/>
      </w:pPr>
      <w:r w:rsidRPr="00C57F5E">
        <w:rPr>
          <w:lang w:eastAsia="fr-FR" w:bidi="fr-FR"/>
        </w:rPr>
        <w:t>Cet article vise à replacer l’ensemble des données et à esquisser des réponses aux problèmes les plus couramment so</w:t>
      </w:r>
      <w:r w:rsidRPr="00C57F5E">
        <w:rPr>
          <w:lang w:eastAsia="fr-FR" w:bidi="fr-FR"/>
        </w:rPr>
        <w:t>u</w:t>
      </w:r>
      <w:r w:rsidRPr="00C57F5E">
        <w:rPr>
          <w:lang w:eastAsia="fr-FR" w:bidi="fr-FR"/>
        </w:rPr>
        <w:t xml:space="preserve">levés à propos de cet ensemble complexe qu’est la </w:t>
      </w:r>
      <w:r w:rsidRPr="001E634A">
        <w:rPr>
          <w:b/>
        </w:rPr>
        <w:t>bébelle p</w:t>
      </w:r>
      <w:r w:rsidRPr="001E634A">
        <w:rPr>
          <w:b/>
        </w:rPr>
        <w:t>é</w:t>
      </w:r>
      <w:r w:rsidRPr="001E634A">
        <w:rPr>
          <w:b/>
        </w:rPr>
        <w:t>trolière</w:t>
      </w:r>
      <w:r w:rsidRPr="00C57F5E">
        <w:t>.</w:t>
      </w:r>
    </w:p>
    <w:p w14:paraId="29D416D5" w14:textId="77777777" w:rsidR="00833514" w:rsidRDefault="00833514" w:rsidP="00833514">
      <w:pPr>
        <w:spacing w:before="120" w:after="120"/>
        <w:jc w:val="both"/>
        <w:rPr>
          <w:lang w:eastAsia="fr-FR" w:bidi="fr-FR"/>
        </w:rPr>
      </w:pPr>
    </w:p>
    <w:p w14:paraId="487CB5E1" w14:textId="77777777" w:rsidR="00833514" w:rsidRDefault="00833514" w:rsidP="00833514">
      <w:pPr>
        <w:pStyle w:val="a"/>
        <w:rPr>
          <w:lang w:eastAsia="fr-FR" w:bidi="fr-FR"/>
        </w:rPr>
      </w:pPr>
      <w:r>
        <w:rPr>
          <w:lang w:eastAsia="fr-FR" w:bidi="fr-FR"/>
        </w:rPr>
        <w:t>1945-1970 :</w:t>
      </w:r>
      <w:r>
        <w:rPr>
          <w:lang w:eastAsia="fr-FR" w:bidi="fr-FR"/>
        </w:rPr>
        <w:br/>
      </w:r>
      <w:r w:rsidRPr="00C57F5E">
        <w:rPr>
          <w:lang w:eastAsia="fr-FR" w:bidi="fr-FR"/>
        </w:rPr>
        <w:t>vers un nouveau partage de la valeur de pétrole</w:t>
      </w:r>
    </w:p>
    <w:p w14:paraId="735A6408" w14:textId="77777777" w:rsidR="00833514" w:rsidRDefault="00833514" w:rsidP="00833514">
      <w:pPr>
        <w:spacing w:before="120" w:after="120"/>
        <w:jc w:val="both"/>
        <w:rPr>
          <w:lang w:eastAsia="fr-FR" w:bidi="fr-FR"/>
        </w:rPr>
      </w:pPr>
    </w:p>
    <w:p w14:paraId="6DBC8B4D" w14:textId="77777777" w:rsidR="00833514" w:rsidRPr="008D10FE" w:rsidRDefault="00833514" w:rsidP="00833514">
      <w:pPr>
        <w:pStyle w:val="b"/>
        <w:rPr>
          <w:lang w:eastAsia="fr-FR" w:bidi="fr-FR"/>
        </w:rPr>
      </w:pPr>
      <w:r w:rsidRPr="001E634A">
        <w:t>Mise en place de la pétro-prospérité</w:t>
      </w:r>
      <w:r>
        <w:t> </w:t>
      </w:r>
      <w:r w:rsidRPr="00E1129D">
        <w:rPr>
          <w:rStyle w:val="Appelnotedebasdep"/>
          <w:i w:val="0"/>
        </w:rPr>
        <w:footnoteReference w:id="1"/>
      </w:r>
    </w:p>
    <w:p w14:paraId="753907AC" w14:textId="77777777" w:rsidR="00833514" w:rsidRDefault="00833514" w:rsidP="00833514">
      <w:pPr>
        <w:spacing w:before="120" w:after="120"/>
        <w:jc w:val="both"/>
        <w:rPr>
          <w:lang w:eastAsia="fr-FR" w:bidi="fr-FR"/>
        </w:rPr>
      </w:pPr>
    </w:p>
    <w:p w14:paraId="27E857AF" w14:textId="77777777" w:rsidR="00833514" w:rsidRPr="00C57F5E" w:rsidRDefault="00833514" w:rsidP="00833514">
      <w:pPr>
        <w:spacing w:before="120" w:after="120"/>
        <w:jc w:val="both"/>
      </w:pPr>
      <w:r w:rsidRPr="00C57F5E">
        <w:rPr>
          <w:lang w:eastAsia="fr-FR" w:bidi="fr-FR"/>
        </w:rPr>
        <w:t>Amorcé durant les années</w:t>
      </w:r>
      <w:r>
        <w:rPr>
          <w:lang w:eastAsia="fr-FR" w:bidi="fr-FR"/>
        </w:rPr>
        <w:t> </w:t>
      </w:r>
      <w:r w:rsidRPr="00C57F5E">
        <w:rPr>
          <w:lang w:eastAsia="fr-FR" w:bidi="fr-FR"/>
        </w:rPr>
        <w:t>30, c’est immédiatement après la deuxième guerre que se termine le processus d</w:t>
      </w:r>
      <w:r w:rsidRPr="00C57F5E">
        <w:t>'</w:t>
      </w:r>
      <w:r w:rsidRPr="001E634A">
        <w:rPr>
          <w:i/>
        </w:rPr>
        <w:t>internationalis</w:t>
      </w:r>
      <w:r w:rsidRPr="001E634A">
        <w:rPr>
          <w:i/>
        </w:rPr>
        <w:t>a</w:t>
      </w:r>
      <w:r w:rsidRPr="001E634A">
        <w:rPr>
          <w:i/>
        </w:rPr>
        <w:t>tion du ma</w:t>
      </w:r>
      <w:r w:rsidRPr="001E634A">
        <w:rPr>
          <w:i/>
        </w:rPr>
        <w:t>r</w:t>
      </w:r>
      <w:r w:rsidRPr="001E634A">
        <w:rPr>
          <w:i/>
        </w:rPr>
        <w:t>ché énergétique centré sur le pétrole</w:t>
      </w:r>
      <w:r w:rsidRPr="00C57F5E">
        <w:t>.</w:t>
      </w:r>
      <w:r w:rsidRPr="00C57F5E">
        <w:rPr>
          <w:lang w:eastAsia="fr-FR" w:bidi="fr-FR"/>
        </w:rPr>
        <w:t xml:space="preserve"> Cette mondialisation du marché énergétique, initiée par le capitalisme am</w:t>
      </w:r>
      <w:r w:rsidRPr="00C57F5E">
        <w:rPr>
          <w:lang w:eastAsia="fr-FR" w:bidi="fr-FR"/>
        </w:rPr>
        <w:t>é</w:t>
      </w:r>
      <w:r w:rsidRPr="00C57F5E">
        <w:rPr>
          <w:lang w:eastAsia="fr-FR" w:bidi="fr-FR"/>
        </w:rPr>
        <w:t xml:space="preserve">ricain, constituera </w:t>
      </w:r>
      <w:r w:rsidRPr="00C57F5E">
        <w:rPr>
          <w:lang w:eastAsia="fr-FR" w:bidi="fr-FR"/>
        </w:rPr>
        <w:lastRenderedPageBreak/>
        <w:t>pour lui jusqu’à ce jour un atout de premier ordre dans sa lutte pour l’hégémonie du monde capitaliste.</w:t>
      </w:r>
    </w:p>
    <w:p w14:paraId="17789457" w14:textId="77777777" w:rsidR="00833514" w:rsidRDefault="00833514" w:rsidP="00833514">
      <w:pPr>
        <w:spacing w:before="120" w:after="120"/>
        <w:jc w:val="both"/>
      </w:pPr>
      <w:r>
        <w:t>[100]</w:t>
      </w:r>
    </w:p>
    <w:p w14:paraId="07DF9730" w14:textId="77777777" w:rsidR="00833514" w:rsidRPr="00C57F5E" w:rsidRDefault="00833514" w:rsidP="00833514">
      <w:pPr>
        <w:spacing w:before="120" w:after="120"/>
        <w:jc w:val="both"/>
      </w:pPr>
      <w:r w:rsidRPr="00C57F5E">
        <w:rPr>
          <w:lang w:eastAsia="fr-FR" w:bidi="fr-FR"/>
        </w:rPr>
        <w:t>En effet, malgré ses propriétés psysico-techniques intére</w:t>
      </w:r>
      <w:r w:rsidRPr="00C57F5E">
        <w:rPr>
          <w:lang w:eastAsia="fr-FR" w:bidi="fr-FR"/>
        </w:rPr>
        <w:t>s</w:t>
      </w:r>
      <w:r w:rsidRPr="00C57F5E">
        <w:rPr>
          <w:lang w:eastAsia="fr-FR" w:bidi="fr-FR"/>
        </w:rPr>
        <w:t>santes, le rôle central joué par le pétrole dans la production énergétique n’est pas le fruit du hasard. Il ne faut pas oublier que jusqu’en 1945, la pr</w:t>
      </w:r>
      <w:r w:rsidRPr="00C57F5E">
        <w:rPr>
          <w:lang w:eastAsia="fr-FR" w:bidi="fr-FR"/>
        </w:rPr>
        <w:t>o</w:t>
      </w:r>
      <w:r w:rsidRPr="00C57F5E">
        <w:rPr>
          <w:lang w:eastAsia="fr-FR" w:bidi="fr-FR"/>
        </w:rPr>
        <w:t>duction américaine de pétrole a repr</w:t>
      </w:r>
      <w:r w:rsidRPr="00C57F5E">
        <w:rPr>
          <w:lang w:eastAsia="fr-FR" w:bidi="fr-FR"/>
        </w:rPr>
        <w:t>é</w:t>
      </w:r>
      <w:r w:rsidRPr="00C57F5E">
        <w:rPr>
          <w:lang w:eastAsia="fr-FR" w:bidi="fr-FR"/>
        </w:rPr>
        <w:t>senté, en permanence, environ les deux tiers de la production mondiale et qu’elle constitue a</w:t>
      </w:r>
      <w:r w:rsidRPr="00C57F5E">
        <w:rPr>
          <w:lang w:eastAsia="fr-FR" w:bidi="fr-FR"/>
        </w:rPr>
        <w:t>u</w:t>
      </w:r>
      <w:r w:rsidRPr="00C57F5E">
        <w:rPr>
          <w:lang w:eastAsia="fr-FR" w:bidi="fr-FR"/>
        </w:rPr>
        <w:t>jourd’hui encore une part de 15</w:t>
      </w:r>
      <w:r>
        <w:rPr>
          <w:lang w:eastAsia="fr-FR" w:bidi="fr-FR"/>
        </w:rPr>
        <w:t>%</w:t>
      </w:r>
      <w:r w:rsidRPr="00C57F5E">
        <w:rPr>
          <w:lang w:eastAsia="fr-FR" w:bidi="fr-FR"/>
        </w:rPr>
        <w:t>. D’autre part, à cette époque, les États-Unis possédaient suffisamment de pétrole et de gaz naturel sur leur propre territoire pour répondre à la totalité de leurs besoins éne</w:t>
      </w:r>
      <w:r w:rsidRPr="00C57F5E">
        <w:rPr>
          <w:lang w:eastAsia="fr-FR" w:bidi="fr-FR"/>
        </w:rPr>
        <w:t>r</w:t>
      </w:r>
      <w:r w:rsidRPr="00C57F5E">
        <w:rPr>
          <w:lang w:eastAsia="fr-FR" w:bidi="fr-FR"/>
        </w:rPr>
        <w:t>gétiques. Ceci n’était pas le</w:t>
      </w:r>
      <w:r>
        <w:rPr>
          <w:lang w:eastAsia="fr-FR" w:bidi="fr-FR"/>
        </w:rPr>
        <w:t xml:space="preserve"> </w:t>
      </w:r>
      <w:r w:rsidRPr="00C57F5E">
        <w:rPr>
          <w:lang w:eastAsia="fr-FR" w:bidi="fr-FR"/>
        </w:rPr>
        <w:t>cas de l’Europe. Par contre, le capitalisme eur</w:t>
      </w:r>
      <w:r w:rsidRPr="00C57F5E">
        <w:rPr>
          <w:lang w:eastAsia="fr-FR" w:bidi="fr-FR"/>
        </w:rPr>
        <w:t>o</w:t>
      </w:r>
      <w:r w:rsidRPr="00C57F5E">
        <w:rPr>
          <w:lang w:eastAsia="fr-FR" w:bidi="fr-FR"/>
        </w:rPr>
        <w:t>péen s’accommoda facilement de cette situation car, bien que l’Europe devait (et doit toujours) recourir à des importations massives de pétrole, le raffinage de celui-ci donnait du mazout et de l’essence à très bas prix. Ainsi, dès 1960, le pétrole extrait au Moyen-Orient et transporté par pétroliers géants arrive sur le marché européen à des prix nettement plus bas que le charbon local. Cette situation se man</w:t>
      </w:r>
      <w:r w:rsidRPr="00C57F5E">
        <w:rPr>
          <w:lang w:eastAsia="fr-FR" w:bidi="fr-FR"/>
        </w:rPr>
        <w:t>i</w:t>
      </w:r>
      <w:r w:rsidRPr="00C57F5E">
        <w:rPr>
          <w:lang w:eastAsia="fr-FR" w:bidi="fr-FR"/>
        </w:rPr>
        <w:t>feste, entre autre, par le plafonn</w:t>
      </w:r>
      <w:r w:rsidRPr="00C57F5E">
        <w:rPr>
          <w:lang w:eastAsia="fr-FR" w:bidi="fr-FR"/>
        </w:rPr>
        <w:t>e</w:t>
      </w:r>
      <w:r w:rsidRPr="00C57F5E">
        <w:rPr>
          <w:lang w:eastAsia="fr-FR" w:bidi="fr-FR"/>
        </w:rPr>
        <w:t>ment dès le milieu des années 50 de la production de charbon pour celle toujours croissante du pétrole (fig.</w:t>
      </w:r>
      <w:r>
        <w:rPr>
          <w:lang w:eastAsia="fr-FR" w:bidi="fr-FR"/>
        </w:rPr>
        <w:t> </w:t>
      </w:r>
      <w:r w:rsidRPr="00C57F5E">
        <w:rPr>
          <w:lang w:eastAsia="fr-FR" w:bidi="fr-FR"/>
        </w:rPr>
        <w:t>1).</w:t>
      </w:r>
    </w:p>
    <w:p w14:paraId="27B7CE27" w14:textId="77777777" w:rsidR="00833514" w:rsidRPr="00C57F5E" w:rsidRDefault="00833514" w:rsidP="00833514">
      <w:pPr>
        <w:spacing w:before="120" w:after="120"/>
        <w:jc w:val="both"/>
      </w:pPr>
      <w:r w:rsidRPr="00C57F5E">
        <w:rPr>
          <w:lang w:eastAsia="fr-FR" w:bidi="fr-FR"/>
        </w:rPr>
        <w:t>La suprématie du pétrole dans la production et la consommation mondiales d’énergie centralise alors le pouvoir de décision dans ce d</w:t>
      </w:r>
      <w:r w:rsidRPr="00C57F5E">
        <w:rPr>
          <w:lang w:eastAsia="fr-FR" w:bidi="fr-FR"/>
        </w:rPr>
        <w:t>o</w:t>
      </w:r>
      <w:r w:rsidRPr="00C57F5E">
        <w:rPr>
          <w:lang w:eastAsia="fr-FR" w:bidi="fr-FR"/>
        </w:rPr>
        <w:t xml:space="preserve">maine dans les mains des </w:t>
      </w:r>
      <w:r w:rsidRPr="00C57F5E">
        <w:t>Majors,</w:t>
      </w:r>
      <w:r w:rsidRPr="00C57F5E">
        <w:rPr>
          <w:lang w:eastAsia="fr-FR" w:bidi="fr-FR"/>
        </w:rPr>
        <w:t xml:space="preserve"> aussi appelés les </w:t>
      </w:r>
      <w:r w:rsidRPr="00C57F5E">
        <w:t>Sept Soeurs</w:t>
      </w:r>
      <w:r w:rsidRPr="00C57F5E">
        <w:rPr>
          <w:lang w:eastAsia="fr-FR" w:bidi="fr-FR"/>
        </w:rPr>
        <w:t xml:space="preserve"> c’est-à-dire les cinq grandes compagnies pétrolières américaines (E</w:t>
      </w:r>
      <w:r w:rsidRPr="00C57F5E">
        <w:rPr>
          <w:lang w:eastAsia="fr-FR" w:bidi="fr-FR"/>
        </w:rPr>
        <w:t>x</w:t>
      </w:r>
      <w:r w:rsidRPr="00C57F5E">
        <w:rPr>
          <w:lang w:eastAsia="fr-FR" w:bidi="fr-FR"/>
        </w:rPr>
        <w:t>xon, Texaco, Mobil Oil, Gulf Oil, Standard Oil), une compagnie a</w:t>
      </w:r>
      <w:r w:rsidRPr="00C57F5E">
        <w:rPr>
          <w:lang w:eastAsia="fr-FR" w:bidi="fr-FR"/>
        </w:rPr>
        <w:t>n</w:t>
      </w:r>
      <w:r w:rsidRPr="00C57F5E">
        <w:rPr>
          <w:lang w:eastAsia="fr-FR" w:bidi="fr-FR"/>
        </w:rPr>
        <w:t>glaise (B.P. ou British Petroleum) et une compagnie anglo-hollandaire (Royal Dutch Shell).</w:t>
      </w:r>
    </w:p>
    <w:p w14:paraId="516C6D1B" w14:textId="77777777" w:rsidR="00833514" w:rsidRDefault="00833514" w:rsidP="00833514">
      <w:pPr>
        <w:spacing w:before="120" w:after="120"/>
        <w:jc w:val="both"/>
        <w:rPr>
          <w:lang w:eastAsia="fr-FR" w:bidi="fr-FR"/>
        </w:rPr>
      </w:pPr>
    </w:p>
    <w:p w14:paraId="47A294D4" w14:textId="77777777" w:rsidR="00833514" w:rsidRPr="00C57F5E" w:rsidRDefault="00833514" w:rsidP="00833514">
      <w:pPr>
        <w:pStyle w:val="b"/>
      </w:pPr>
      <w:r w:rsidRPr="00C57F5E">
        <w:rPr>
          <w:lang w:eastAsia="fr-FR" w:bidi="fr-FR"/>
        </w:rPr>
        <w:t>L</w:t>
      </w:r>
      <w:r>
        <w:rPr>
          <w:lang w:eastAsia="fr-FR" w:bidi="fr-FR"/>
        </w:rPr>
        <w:t>’</w:t>
      </w:r>
      <w:r w:rsidRPr="00C57F5E">
        <w:rPr>
          <w:lang w:eastAsia="fr-FR" w:bidi="fr-FR"/>
        </w:rPr>
        <w:t>origine du surplus pétrolier</w:t>
      </w:r>
    </w:p>
    <w:p w14:paraId="433451B2" w14:textId="77777777" w:rsidR="00833514" w:rsidRDefault="00833514" w:rsidP="00833514">
      <w:pPr>
        <w:spacing w:before="120" w:after="120"/>
        <w:jc w:val="both"/>
        <w:rPr>
          <w:lang w:eastAsia="fr-FR" w:bidi="fr-FR"/>
        </w:rPr>
      </w:pPr>
    </w:p>
    <w:p w14:paraId="492EFAD9" w14:textId="77777777" w:rsidR="00833514" w:rsidRPr="00C57F5E" w:rsidRDefault="00833514" w:rsidP="00833514">
      <w:pPr>
        <w:spacing w:before="120" w:after="120"/>
        <w:jc w:val="both"/>
      </w:pPr>
      <w:r w:rsidRPr="00C57F5E">
        <w:rPr>
          <w:lang w:eastAsia="fr-FR" w:bidi="fr-FR"/>
        </w:rPr>
        <w:t>Le pétrole, comme toute ressource non renouvelable soumise au rapport de propriété, se vend à un prix effectif qui dépa</w:t>
      </w:r>
      <w:r w:rsidRPr="00C57F5E">
        <w:rPr>
          <w:lang w:eastAsia="fr-FR" w:bidi="fr-FR"/>
        </w:rPr>
        <w:t>s</w:t>
      </w:r>
      <w:r w:rsidRPr="00C57F5E">
        <w:rPr>
          <w:lang w:eastAsia="fr-FR" w:bidi="fr-FR"/>
        </w:rPr>
        <w:t>se de loin le coût réel de production. Comme l’écrit Jean-Marie Chevalier</w:t>
      </w:r>
      <w:r>
        <w:t> </w:t>
      </w:r>
      <w:r>
        <w:rPr>
          <w:rStyle w:val="Appelnotedebasdep"/>
        </w:rPr>
        <w:footnoteReference w:id="2"/>
      </w:r>
      <w:r w:rsidRPr="00C57F5E">
        <w:t> :</w:t>
      </w:r>
    </w:p>
    <w:p w14:paraId="2A5A20DD" w14:textId="77777777" w:rsidR="00833514" w:rsidRDefault="00833514" w:rsidP="00833514">
      <w:pPr>
        <w:spacing w:before="120" w:after="120"/>
        <w:jc w:val="both"/>
      </w:pPr>
      <w:r w:rsidRPr="00C57F5E">
        <w:rPr>
          <w:lang w:eastAsia="fr-FR" w:bidi="fr-FR"/>
        </w:rPr>
        <w:lastRenderedPageBreak/>
        <w:t>Ainsi, on peut dire que, pour chaque type de brut, il existe une di</w:t>
      </w:r>
      <w:r w:rsidRPr="00C57F5E">
        <w:rPr>
          <w:lang w:eastAsia="fr-FR" w:bidi="fr-FR"/>
        </w:rPr>
        <w:t>f</w:t>
      </w:r>
      <w:r w:rsidRPr="00C57F5E">
        <w:rPr>
          <w:lang w:eastAsia="fr-FR" w:bidi="fr-FR"/>
        </w:rPr>
        <w:t>férence entre le coût technique de production et de tran</w:t>
      </w:r>
      <w:r w:rsidRPr="00C57F5E">
        <w:rPr>
          <w:lang w:eastAsia="fr-FR" w:bidi="fr-FR"/>
        </w:rPr>
        <w:t>s</w:t>
      </w:r>
      <w:r w:rsidRPr="00C57F5E">
        <w:rPr>
          <w:lang w:eastAsia="fr-FR" w:bidi="fr-FR"/>
        </w:rPr>
        <w:t>formation et son prix de valorisation. Cette différence constitue le surplus pétr</w:t>
      </w:r>
      <w:r w:rsidRPr="00C57F5E">
        <w:rPr>
          <w:lang w:eastAsia="fr-FR" w:bidi="fr-FR"/>
        </w:rPr>
        <w:t>o</w:t>
      </w:r>
      <w:r w:rsidRPr="00C57F5E">
        <w:rPr>
          <w:lang w:eastAsia="fr-FR" w:bidi="fr-FR"/>
        </w:rPr>
        <w:t>lier...</w:t>
      </w:r>
      <w:r w:rsidRPr="00C57F5E">
        <w:t> »</w:t>
      </w:r>
    </w:p>
    <w:p w14:paraId="5EAB8371" w14:textId="77777777" w:rsidR="00833514" w:rsidRDefault="00833514" w:rsidP="00833514">
      <w:pPr>
        <w:spacing w:before="120" w:after="120"/>
        <w:jc w:val="both"/>
      </w:pPr>
      <w:r>
        <w:t>[101]</w:t>
      </w:r>
    </w:p>
    <w:p w14:paraId="74DE78FD" w14:textId="77777777" w:rsidR="00833514" w:rsidRDefault="00833514" w:rsidP="00833514">
      <w:pPr>
        <w:spacing w:before="120" w:after="120"/>
        <w:jc w:val="both"/>
      </w:pPr>
    </w:p>
    <w:p w14:paraId="15D4742E" w14:textId="77777777" w:rsidR="00833514" w:rsidRPr="00BF69D7" w:rsidRDefault="00833514" w:rsidP="00833514">
      <w:pPr>
        <w:pStyle w:val="figtitre"/>
      </w:pPr>
      <w:r w:rsidRPr="00BF69D7">
        <w:t>Figure 1</w:t>
      </w:r>
    </w:p>
    <w:p w14:paraId="1279BC57" w14:textId="77777777" w:rsidR="00833514" w:rsidRDefault="000968E2" w:rsidP="00833514">
      <w:pPr>
        <w:pStyle w:val="fig"/>
      </w:pPr>
      <w:r>
        <w:rPr>
          <w:noProof/>
        </w:rPr>
        <w:drawing>
          <wp:inline distT="0" distB="0" distL="0" distR="0" wp14:anchorId="0E432103" wp14:editId="40561CC9">
            <wp:extent cx="5067300" cy="43053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7300" cy="4305300"/>
                    </a:xfrm>
                    <a:prstGeom prst="rect">
                      <a:avLst/>
                    </a:prstGeom>
                    <a:noFill/>
                    <a:ln>
                      <a:noFill/>
                    </a:ln>
                  </pic:spPr>
                </pic:pic>
              </a:graphicData>
            </a:graphic>
          </wp:inline>
        </w:drawing>
      </w:r>
    </w:p>
    <w:p w14:paraId="633B0ED9" w14:textId="77777777" w:rsidR="00833514" w:rsidRPr="00C57F5E" w:rsidRDefault="00833514" w:rsidP="00833514">
      <w:pPr>
        <w:pStyle w:val="figtitrest"/>
      </w:pPr>
      <w:r w:rsidRPr="00C57F5E">
        <w:t>Production et consommation mondiales d’énergie</w:t>
      </w:r>
      <w:r w:rsidRPr="00C57F5E">
        <w:br/>
        <w:t>au XX</w:t>
      </w:r>
      <w:r w:rsidRPr="00BF69D7">
        <w:rPr>
          <w:vertAlign w:val="superscript"/>
        </w:rPr>
        <w:t>e</w:t>
      </w:r>
      <w:r w:rsidRPr="00C57F5E">
        <w:t xml:space="preserve"> siècle</w:t>
      </w:r>
    </w:p>
    <w:p w14:paraId="6BB59257" w14:textId="77777777" w:rsidR="00833514" w:rsidRDefault="00833514" w:rsidP="00833514">
      <w:pPr>
        <w:pStyle w:val="p"/>
      </w:pPr>
      <w:r w:rsidRPr="00C57F5E">
        <w:br w:type="page"/>
      </w:r>
      <w:r>
        <w:lastRenderedPageBreak/>
        <w:t>[102]</w:t>
      </w:r>
    </w:p>
    <w:p w14:paraId="2FBC08F2" w14:textId="77777777" w:rsidR="00833514" w:rsidRPr="00C57F5E" w:rsidRDefault="00833514" w:rsidP="00833514">
      <w:pPr>
        <w:spacing w:before="120" w:after="120"/>
        <w:jc w:val="both"/>
      </w:pPr>
    </w:p>
    <w:p w14:paraId="5BAFF0C6" w14:textId="77777777" w:rsidR="00833514" w:rsidRPr="00C57F5E" w:rsidRDefault="00833514" w:rsidP="00833514">
      <w:pPr>
        <w:spacing w:before="120" w:after="120"/>
        <w:jc w:val="both"/>
      </w:pPr>
      <w:r w:rsidRPr="00C57F5E">
        <w:rPr>
          <w:lang w:eastAsia="fr-FR" w:bidi="fr-FR"/>
        </w:rPr>
        <w:t>L’existence de ce surplus pétrolier s’explique pour plusieurs ra</w:t>
      </w:r>
      <w:r w:rsidRPr="00C57F5E">
        <w:rPr>
          <w:lang w:eastAsia="fr-FR" w:bidi="fr-FR"/>
        </w:rPr>
        <w:t>i</w:t>
      </w:r>
      <w:r w:rsidRPr="00C57F5E">
        <w:rPr>
          <w:lang w:eastAsia="fr-FR" w:bidi="fr-FR"/>
        </w:rPr>
        <w:t>sons dont les principales sont</w:t>
      </w:r>
      <w:r w:rsidRPr="00C57F5E">
        <w:t> :</w:t>
      </w:r>
    </w:p>
    <w:p w14:paraId="07B4B300" w14:textId="77777777" w:rsidR="00833514" w:rsidRDefault="00833514" w:rsidP="00833514">
      <w:pPr>
        <w:spacing w:before="120" w:after="120"/>
        <w:jc w:val="both"/>
      </w:pPr>
    </w:p>
    <w:p w14:paraId="3A43BD06" w14:textId="77777777" w:rsidR="00833514" w:rsidRPr="00C57F5E" w:rsidRDefault="00833514" w:rsidP="00833514">
      <w:pPr>
        <w:spacing w:before="120" w:after="120"/>
        <w:ind w:left="720" w:hanging="360"/>
        <w:jc w:val="both"/>
      </w:pPr>
      <w:r>
        <w:t>1)</w:t>
      </w:r>
      <w:r>
        <w:tab/>
      </w:r>
      <w:r w:rsidRPr="00BF69D7">
        <w:rPr>
          <w:b/>
        </w:rPr>
        <w:t>Le pétrole brut n’est pas un bien homogène </w:t>
      </w:r>
      <w:r w:rsidRPr="00C57F5E">
        <w:t>;</w:t>
      </w:r>
      <w:r w:rsidRPr="00C57F5E">
        <w:rPr>
          <w:lang w:eastAsia="fr-FR" w:bidi="fr-FR"/>
        </w:rPr>
        <w:t xml:space="preserve"> certains sont de mei</w:t>
      </w:r>
      <w:r w:rsidRPr="00C57F5E">
        <w:rPr>
          <w:lang w:eastAsia="fr-FR" w:bidi="fr-FR"/>
        </w:rPr>
        <w:t>l</w:t>
      </w:r>
      <w:r w:rsidRPr="00C57F5E">
        <w:rPr>
          <w:lang w:eastAsia="fr-FR" w:bidi="fr-FR"/>
        </w:rPr>
        <w:t>leure qualité que d’autres. De plus, le prix de marché du pétrole est déterminé par le prix de vente des pétroles bruts po</w:t>
      </w:r>
      <w:r w:rsidRPr="00C57F5E">
        <w:rPr>
          <w:lang w:eastAsia="fr-FR" w:bidi="fr-FR"/>
        </w:rPr>
        <w:t>s</w:t>
      </w:r>
      <w:r w:rsidRPr="00C57F5E">
        <w:rPr>
          <w:lang w:eastAsia="fr-FR" w:bidi="fr-FR"/>
        </w:rPr>
        <w:t>sédant la moins bonne qualité mais trouvant acquéreur. À cause de ces deux faits, certains bruts obtiennent un surprofit (rente différentielle) à ca</w:t>
      </w:r>
      <w:r w:rsidRPr="00C57F5E">
        <w:rPr>
          <w:lang w:eastAsia="fr-FR" w:bidi="fr-FR"/>
        </w:rPr>
        <w:t>u</w:t>
      </w:r>
      <w:r w:rsidRPr="00C57F5E">
        <w:rPr>
          <w:lang w:eastAsia="fr-FR" w:bidi="fr-FR"/>
        </w:rPr>
        <w:t>se de leur faible teneur en souffre (rente de qualité), de leur proximité (rente de situation) ou de meilleures conditions d’exploitation (rente minière).</w:t>
      </w:r>
    </w:p>
    <w:p w14:paraId="53B76798" w14:textId="77777777" w:rsidR="00833514" w:rsidRPr="00C57F5E" w:rsidRDefault="00833514" w:rsidP="00833514">
      <w:pPr>
        <w:spacing w:before="120" w:after="120"/>
        <w:ind w:left="720" w:hanging="360"/>
        <w:jc w:val="both"/>
      </w:pPr>
      <w:r>
        <w:t>2)</w:t>
      </w:r>
      <w:r>
        <w:tab/>
      </w:r>
      <w:r w:rsidRPr="00BF69D7">
        <w:rPr>
          <w:b/>
        </w:rPr>
        <w:t>La possibilité de concertation</w:t>
      </w:r>
      <w:r w:rsidRPr="00C57F5E">
        <w:t xml:space="preserve"> </w:t>
      </w:r>
      <w:r w:rsidRPr="00C57F5E">
        <w:rPr>
          <w:lang w:eastAsia="fr-FR" w:bidi="fr-FR"/>
        </w:rPr>
        <w:t>soit entre les Majors, soit entre les États pétroliers</w:t>
      </w:r>
      <w:r>
        <w:t> </w:t>
      </w:r>
      <w:r>
        <w:rPr>
          <w:rStyle w:val="Appelnotedebasdep"/>
        </w:rPr>
        <w:footnoteReference w:id="3"/>
      </w:r>
      <w:r w:rsidRPr="00C57F5E">
        <w:rPr>
          <w:lang w:eastAsia="fr-FR" w:bidi="fr-FR"/>
        </w:rPr>
        <w:t>, soit entre les États consommateurs peut créer à ch</w:t>
      </w:r>
      <w:r w:rsidRPr="00C57F5E">
        <w:rPr>
          <w:lang w:eastAsia="fr-FR" w:bidi="fr-FR"/>
        </w:rPr>
        <w:t>a</w:t>
      </w:r>
      <w:r w:rsidRPr="00C57F5E">
        <w:rPr>
          <w:lang w:eastAsia="fr-FR" w:bidi="fr-FR"/>
        </w:rPr>
        <w:t xml:space="preserve">que phase du circuit de production, de l’extraction à la vente au détail une rente de monopole. Aux États-Unis, une enquête fédérale a estimé entre 1 et 3 milliards de dollars les profits </w:t>
      </w:r>
      <w:r w:rsidRPr="00C57F5E">
        <w:t>« </w:t>
      </w:r>
      <w:r w:rsidRPr="00C57F5E">
        <w:rPr>
          <w:lang w:eastAsia="fr-FR" w:bidi="fr-FR"/>
        </w:rPr>
        <w:t>excessifs</w:t>
      </w:r>
      <w:r w:rsidRPr="00C57F5E">
        <w:t> »</w:t>
      </w:r>
      <w:r w:rsidRPr="00C57F5E">
        <w:rPr>
          <w:lang w:eastAsia="fr-FR" w:bidi="fr-FR"/>
        </w:rPr>
        <w:t xml:space="preserve"> obtenus par les compagnies pétrolières en 1973 par l’utilisation de la pratique de la sur-facturation à l’importation. Par exemple, </w:t>
      </w:r>
      <w:r w:rsidRPr="00C57F5E">
        <w:t>« </w:t>
      </w:r>
      <w:r w:rsidRPr="00C57F5E">
        <w:rPr>
          <w:lang w:eastAsia="fr-FR" w:bidi="fr-FR"/>
        </w:rPr>
        <w:t>on</w:t>
      </w:r>
      <w:r w:rsidRPr="00C57F5E">
        <w:t> »</w:t>
      </w:r>
      <w:r w:rsidRPr="00C57F5E">
        <w:rPr>
          <w:lang w:eastAsia="fr-FR" w:bidi="fr-FR"/>
        </w:rPr>
        <w:t xml:space="preserve"> s’entendait pour que du p</w:t>
      </w:r>
      <w:r w:rsidRPr="00C57F5E">
        <w:rPr>
          <w:lang w:eastAsia="fr-FR" w:bidi="fr-FR"/>
        </w:rPr>
        <w:t>é</w:t>
      </w:r>
      <w:r w:rsidRPr="00C57F5E">
        <w:rPr>
          <w:lang w:eastAsia="fr-FR" w:bidi="fr-FR"/>
        </w:rPr>
        <w:t xml:space="preserve">trole chargé au Nigéria à </w:t>
      </w:r>
      <w:r>
        <w:rPr>
          <w:lang w:eastAsia="fr-FR" w:bidi="fr-FR"/>
        </w:rPr>
        <w:t>$ </w:t>
      </w:r>
      <w:r w:rsidRPr="00C57F5E">
        <w:rPr>
          <w:lang w:eastAsia="fr-FR" w:bidi="fr-FR"/>
        </w:rPr>
        <w:t xml:space="preserve">5.50 le baril soit facturé à </w:t>
      </w:r>
      <w:r>
        <w:rPr>
          <w:lang w:eastAsia="fr-FR" w:bidi="fr-FR"/>
        </w:rPr>
        <w:t>$ </w:t>
      </w:r>
      <w:r w:rsidRPr="00C57F5E">
        <w:rPr>
          <w:lang w:eastAsia="fr-FR" w:bidi="fr-FR"/>
        </w:rPr>
        <w:t>10 le b</w:t>
      </w:r>
      <w:r w:rsidRPr="00C57F5E">
        <w:rPr>
          <w:lang w:eastAsia="fr-FR" w:bidi="fr-FR"/>
        </w:rPr>
        <w:t>a</w:t>
      </w:r>
      <w:r w:rsidRPr="00C57F5E">
        <w:rPr>
          <w:lang w:eastAsia="fr-FR" w:bidi="fr-FR"/>
        </w:rPr>
        <w:t>ril. Ceci permettait de le revendre sur le marché américain à un prix atteignant parfois cinq fois sa valeur réelle</w:t>
      </w:r>
      <w:r>
        <w:t> </w:t>
      </w:r>
      <w:r>
        <w:rPr>
          <w:rStyle w:val="Appelnotedebasdep"/>
        </w:rPr>
        <w:footnoteReference w:id="4"/>
      </w:r>
      <w:r w:rsidRPr="00C57F5E">
        <w:rPr>
          <w:lang w:eastAsia="fr-FR" w:bidi="fr-FR"/>
        </w:rPr>
        <w:t>.</w:t>
      </w:r>
    </w:p>
    <w:p w14:paraId="3E0E18F2" w14:textId="77777777" w:rsidR="00833514" w:rsidRPr="00C57F5E" w:rsidRDefault="00833514" w:rsidP="00833514">
      <w:pPr>
        <w:spacing w:before="120" w:after="120"/>
        <w:ind w:left="720" w:hanging="360"/>
        <w:jc w:val="both"/>
      </w:pPr>
      <w:r>
        <w:rPr>
          <w:lang w:eastAsia="fr-FR" w:bidi="fr-FR"/>
        </w:rPr>
        <w:t>3)</w:t>
      </w:r>
      <w:r>
        <w:rPr>
          <w:lang w:eastAsia="fr-FR" w:bidi="fr-FR"/>
        </w:rPr>
        <w:tab/>
      </w:r>
      <w:r w:rsidRPr="00C57F5E">
        <w:rPr>
          <w:lang w:eastAsia="fr-FR" w:bidi="fr-FR"/>
        </w:rPr>
        <w:t xml:space="preserve">Un grand nombre de produits finis dérivés du pétrole </w:t>
      </w:r>
      <w:r w:rsidRPr="00BF69D7">
        <w:rPr>
          <w:b/>
        </w:rPr>
        <w:t>n’ont pas de substituts</w:t>
      </w:r>
      <w:r w:rsidRPr="00C57F5E">
        <w:t xml:space="preserve"> </w:t>
      </w:r>
      <w:r w:rsidRPr="00C57F5E">
        <w:rPr>
          <w:lang w:eastAsia="fr-FR" w:bidi="fr-FR"/>
        </w:rPr>
        <w:t>(l’essence, par exemple) ce qui permet de le ve</w:t>
      </w:r>
      <w:r w:rsidRPr="00C57F5E">
        <w:rPr>
          <w:lang w:eastAsia="fr-FR" w:bidi="fr-FR"/>
        </w:rPr>
        <w:t>n</w:t>
      </w:r>
      <w:r w:rsidRPr="00C57F5E">
        <w:rPr>
          <w:lang w:eastAsia="fr-FR" w:bidi="fr-FR"/>
        </w:rPr>
        <w:t>dre plus cher. D’autres sources d’énergie sur lesquelles on comptait pour re</w:t>
      </w:r>
      <w:r w:rsidRPr="00C57F5E">
        <w:rPr>
          <w:lang w:eastAsia="fr-FR" w:bidi="fr-FR"/>
        </w:rPr>
        <w:t>m</w:t>
      </w:r>
      <w:r w:rsidRPr="00C57F5E">
        <w:rPr>
          <w:lang w:eastAsia="fr-FR" w:bidi="fr-FR"/>
        </w:rPr>
        <w:t>placer le pétrole se sont avérées soit non-</w:t>
      </w:r>
      <w:r w:rsidRPr="00C57F5E">
        <w:rPr>
          <w:lang w:eastAsia="fr-FR" w:bidi="fr-FR"/>
        </w:rPr>
        <w:lastRenderedPageBreak/>
        <w:t>rentables (sables bitumineux, nucléaire...) soit trop contestés (nucléaire des sur-générateurs)</w:t>
      </w:r>
      <w:r>
        <w:t> </w:t>
      </w:r>
      <w:r>
        <w:rPr>
          <w:rStyle w:val="Appelnotedebasdep"/>
        </w:rPr>
        <w:footnoteReference w:id="5"/>
      </w:r>
      <w:r w:rsidRPr="00C57F5E">
        <w:rPr>
          <w:lang w:eastAsia="fr-FR" w:bidi="fr-FR"/>
        </w:rPr>
        <w:t>.</w:t>
      </w:r>
    </w:p>
    <w:p w14:paraId="3DDFD6E1" w14:textId="77777777" w:rsidR="00833514" w:rsidRDefault="00833514" w:rsidP="00833514">
      <w:pPr>
        <w:spacing w:before="120" w:after="120"/>
        <w:jc w:val="both"/>
        <w:rPr>
          <w:lang w:eastAsia="fr-FR" w:bidi="fr-FR"/>
        </w:rPr>
      </w:pPr>
    </w:p>
    <w:p w14:paraId="4F433CD8" w14:textId="77777777" w:rsidR="00833514" w:rsidRPr="00C57F5E" w:rsidRDefault="00833514" w:rsidP="00833514">
      <w:pPr>
        <w:pStyle w:val="a"/>
      </w:pPr>
      <w:r w:rsidRPr="00C57F5E">
        <w:rPr>
          <w:lang w:eastAsia="fr-FR" w:bidi="fr-FR"/>
        </w:rPr>
        <w:t>L'appropriation du surplus</w:t>
      </w:r>
    </w:p>
    <w:p w14:paraId="618212C4" w14:textId="77777777" w:rsidR="00833514" w:rsidRDefault="00833514" w:rsidP="00833514">
      <w:pPr>
        <w:spacing w:before="120" w:after="120"/>
        <w:jc w:val="both"/>
        <w:rPr>
          <w:lang w:eastAsia="fr-FR" w:bidi="fr-FR"/>
        </w:rPr>
      </w:pPr>
    </w:p>
    <w:p w14:paraId="5616E369" w14:textId="77777777" w:rsidR="00833514" w:rsidRPr="00C57F5E" w:rsidRDefault="00833514" w:rsidP="00833514">
      <w:pPr>
        <w:spacing w:before="120" w:after="120"/>
        <w:jc w:val="both"/>
      </w:pPr>
      <w:r w:rsidRPr="00C57F5E">
        <w:rPr>
          <w:lang w:eastAsia="fr-FR" w:bidi="fr-FR"/>
        </w:rPr>
        <w:t>Ainsi, peut-on résumer l’histoire pétrolière des dernières d</w:t>
      </w:r>
      <w:r w:rsidRPr="00C57F5E">
        <w:rPr>
          <w:lang w:eastAsia="fr-FR" w:bidi="fr-FR"/>
        </w:rPr>
        <w:t>é</w:t>
      </w:r>
      <w:r w:rsidRPr="00C57F5E">
        <w:rPr>
          <w:lang w:eastAsia="fr-FR" w:bidi="fr-FR"/>
        </w:rPr>
        <w:t>cennies à la domination successive, dans le rapport de force menant au</w:t>
      </w:r>
      <w:r>
        <w:rPr>
          <w:lang w:eastAsia="fr-FR" w:bidi="fr-FR"/>
        </w:rPr>
        <w:t xml:space="preserve"> </w:t>
      </w:r>
      <w:r w:rsidRPr="00C57F5E">
        <w:rPr>
          <w:lang w:eastAsia="fr-FR" w:bidi="fr-FR"/>
        </w:rPr>
        <w:t>part</w:t>
      </w:r>
      <w:r w:rsidRPr="00C57F5E">
        <w:rPr>
          <w:lang w:eastAsia="fr-FR" w:bidi="fr-FR"/>
        </w:rPr>
        <w:t>a</w:t>
      </w:r>
      <w:r w:rsidRPr="00C57F5E">
        <w:rPr>
          <w:lang w:eastAsia="fr-FR" w:bidi="fr-FR"/>
        </w:rPr>
        <w:t>ge du surplus pétrolier, de chacun des trois groupes suivants</w:t>
      </w:r>
      <w:r w:rsidRPr="00C57F5E">
        <w:t> :</w:t>
      </w:r>
      <w:r w:rsidRPr="00C57F5E">
        <w:rPr>
          <w:lang w:eastAsia="fr-FR" w:bidi="fr-FR"/>
        </w:rPr>
        <w:t xml:space="preserve"> comp</w:t>
      </w:r>
      <w:r w:rsidRPr="00C57F5E">
        <w:rPr>
          <w:lang w:eastAsia="fr-FR" w:bidi="fr-FR"/>
        </w:rPr>
        <w:t>a</w:t>
      </w:r>
      <w:r w:rsidRPr="00C57F5E">
        <w:rPr>
          <w:lang w:eastAsia="fr-FR" w:bidi="fr-FR"/>
        </w:rPr>
        <w:t>gnies, États consommateurs, États pétroliers. Vue sous cet angle, l’histoire pétrolière peut</w:t>
      </w:r>
    </w:p>
    <w:p w14:paraId="471F16CD" w14:textId="77777777" w:rsidR="00833514" w:rsidRDefault="00833514" w:rsidP="00833514">
      <w:pPr>
        <w:pStyle w:val="p"/>
      </w:pPr>
      <w:r w:rsidRPr="00C57F5E">
        <w:br w:type="page"/>
      </w:r>
      <w:r>
        <w:lastRenderedPageBreak/>
        <w:t>[103]</w:t>
      </w:r>
    </w:p>
    <w:p w14:paraId="0EBA8048" w14:textId="77777777" w:rsidR="00833514" w:rsidRDefault="00833514" w:rsidP="00833514">
      <w:pPr>
        <w:pStyle w:val="p"/>
      </w:pPr>
    </w:p>
    <w:p w14:paraId="23D7FA6A" w14:textId="77777777" w:rsidR="00833514" w:rsidRDefault="00833514" w:rsidP="00833514">
      <w:pPr>
        <w:pStyle w:val="figtitre"/>
      </w:pPr>
      <w:r>
        <w:t>Figure 2</w:t>
      </w:r>
    </w:p>
    <w:p w14:paraId="2FAE6716" w14:textId="77777777" w:rsidR="00833514" w:rsidRDefault="00833514" w:rsidP="00833514">
      <w:pPr>
        <w:pStyle w:val="figtitrest"/>
      </w:pPr>
      <w:r>
        <w:t>Production de pétrole brut 1950-1973</w:t>
      </w:r>
    </w:p>
    <w:p w14:paraId="50B581C5" w14:textId="77777777" w:rsidR="00833514" w:rsidRDefault="000968E2" w:rsidP="00833514">
      <w:pPr>
        <w:pStyle w:val="fig"/>
      </w:pPr>
      <w:r>
        <w:rPr>
          <w:noProof/>
        </w:rPr>
        <w:drawing>
          <wp:inline distT="0" distB="0" distL="0" distR="0" wp14:anchorId="429B1F0D" wp14:editId="54031794">
            <wp:extent cx="5219700" cy="5791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5791200"/>
                    </a:xfrm>
                    <a:prstGeom prst="rect">
                      <a:avLst/>
                    </a:prstGeom>
                    <a:noFill/>
                    <a:ln>
                      <a:noFill/>
                    </a:ln>
                  </pic:spPr>
                </pic:pic>
              </a:graphicData>
            </a:graphic>
          </wp:inline>
        </w:drawing>
      </w:r>
    </w:p>
    <w:p w14:paraId="5E40470B" w14:textId="77777777" w:rsidR="00833514" w:rsidRPr="00C57F5E" w:rsidRDefault="00833514" w:rsidP="00833514">
      <w:pPr>
        <w:pStyle w:val="figtitrest1"/>
      </w:pPr>
      <w:r w:rsidRPr="00BF69D7">
        <w:t>Source</w:t>
      </w:r>
      <w:r>
        <w:t> </w:t>
      </w:r>
      <w:r w:rsidRPr="00BF69D7">
        <w:t>: Bulletin statistique de l’Organisation des Pays Produ</w:t>
      </w:r>
      <w:r w:rsidRPr="00BF69D7">
        <w:t>c</w:t>
      </w:r>
      <w:r>
        <w:t>teurs de Pétrole (O.P.E.</w:t>
      </w:r>
      <w:r w:rsidRPr="00BF69D7">
        <w:t>P.) et John Blair (p. 100 et 102)</w:t>
      </w:r>
    </w:p>
    <w:p w14:paraId="62F26116" w14:textId="77777777" w:rsidR="00833514" w:rsidRDefault="00833514" w:rsidP="00833514">
      <w:pPr>
        <w:spacing w:before="120" w:after="120"/>
        <w:ind w:firstLine="0"/>
        <w:jc w:val="both"/>
        <w:rPr>
          <w:szCs w:val="2"/>
        </w:rPr>
      </w:pPr>
      <w:r w:rsidRPr="00C57F5E">
        <w:rPr>
          <w:szCs w:val="2"/>
        </w:rPr>
        <w:br w:type="page"/>
      </w:r>
      <w:r>
        <w:rPr>
          <w:szCs w:val="2"/>
        </w:rPr>
        <w:lastRenderedPageBreak/>
        <w:t>[104]</w:t>
      </w:r>
    </w:p>
    <w:p w14:paraId="07837F02" w14:textId="77777777" w:rsidR="00833514" w:rsidRPr="00C57F5E" w:rsidRDefault="00833514" w:rsidP="00833514">
      <w:pPr>
        <w:spacing w:before="120" w:after="120"/>
        <w:ind w:firstLine="0"/>
        <w:jc w:val="both"/>
      </w:pPr>
      <w:r w:rsidRPr="00C57F5E">
        <w:rPr>
          <w:lang w:eastAsia="fr-FR" w:bidi="fr-FR"/>
        </w:rPr>
        <w:t>se diviser en trois périodes</w:t>
      </w:r>
      <w:r w:rsidRPr="00C57F5E">
        <w:t> :</w:t>
      </w:r>
    </w:p>
    <w:p w14:paraId="5AAC266C" w14:textId="77777777" w:rsidR="00833514" w:rsidRDefault="00833514" w:rsidP="00833514">
      <w:pPr>
        <w:spacing w:before="120" w:after="120"/>
        <w:jc w:val="both"/>
        <w:rPr>
          <w:lang w:eastAsia="fr-FR" w:bidi="fr-FR"/>
        </w:rPr>
      </w:pPr>
    </w:p>
    <w:p w14:paraId="194AEE01" w14:textId="77777777" w:rsidR="00833514" w:rsidRPr="00C57F5E" w:rsidRDefault="00833514" w:rsidP="00833514">
      <w:pPr>
        <w:spacing w:before="120" w:after="120"/>
        <w:ind w:left="720" w:hanging="360"/>
        <w:jc w:val="both"/>
      </w:pPr>
      <w:r>
        <w:rPr>
          <w:lang w:eastAsia="fr-FR" w:bidi="fr-FR"/>
        </w:rPr>
        <w:t>1)</w:t>
      </w:r>
      <w:r>
        <w:rPr>
          <w:lang w:eastAsia="fr-FR" w:bidi="fr-FR"/>
        </w:rPr>
        <w:tab/>
      </w:r>
      <w:r w:rsidRPr="00C57F5E">
        <w:rPr>
          <w:lang w:eastAsia="fr-FR" w:bidi="fr-FR"/>
        </w:rPr>
        <w:t>De 1945 à 1965</w:t>
      </w:r>
      <w:r w:rsidRPr="00C57F5E">
        <w:t> :</w:t>
      </w:r>
      <w:r w:rsidRPr="00C57F5E">
        <w:rPr>
          <w:lang w:eastAsia="fr-FR" w:bidi="fr-FR"/>
        </w:rPr>
        <w:t xml:space="preserve"> domination quasi-absolue des Sept Soeurs.</w:t>
      </w:r>
    </w:p>
    <w:p w14:paraId="6A995E00" w14:textId="77777777" w:rsidR="00833514" w:rsidRPr="00C57F5E" w:rsidRDefault="00833514" w:rsidP="00833514">
      <w:pPr>
        <w:spacing w:before="120" w:after="120"/>
        <w:ind w:left="720" w:hanging="360"/>
        <w:jc w:val="both"/>
      </w:pPr>
      <w:r>
        <w:rPr>
          <w:lang w:eastAsia="fr-FR" w:bidi="fr-FR"/>
        </w:rPr>
        <w:t>2)</w:t>
      </w:r>
      <w:r>
        <w:rPr>
          <w:lang w:eastAsia="fr-FR" w:bidi="fr-FR"/>
        </w:rPr>
        <w:tab/>
      </w:r>
      <w:r w:rsidRPr="00C57F5E">
        <w:rPr>
          <w:lang w:eastAsia="fr-FR" w:bidi="fr-FR"/>
        </w:rPr>
        <w:t>De 1965 à 1970</w:t>
      </w:r>
      <w:r w:rsidRPr="00C57F5E">
        <w:t> :</w:t>
      </w:r>
      <w:r w:rsidRPr="00C57F5E">
        <w:rPr>
          <w:lang w:eastAsia="fr-FR" w:bidi="fr-FR"/>
        </w:rPr>
        <w:t xml:space="preserve"> les États consommateurs sont avantagés par une conjoncture qui remet en question le contrôle absolu des Majors</w:t>
      </w:r>
      <w:r>
        <w:rPr>
          <w:lang w:eastAsia="fr-FR" w:bidi="fr-FR"/>
        </w:rPr>
        <w:t>.</w:t>
      </w:r>
    </w:p>
    <w:p w14:paraId="18B80456" w14:textId="77777777" w:rsidR="00833514" w:rsidRPr="00C57F5E" w:rsidRDefault="00833514" w:rsidP="00833514">
      <w:pPr>
        <w:spacing w:before="120" w:after="120"/>
        <w:ind w:left="720" w:hanging="360"/>
        <w:jc w:val="both"/>
      </w:pPr>
      <w:r>
        <w:rPr>
          <w:lang w:eastAsia="fr-FR" w:bidi="fr-FR"/>
        </w:rPr>
        <w:t>3)</w:t>
      </w:r>
      <w:r>
        <w:rPr>
          <w:lang w:eastAsia="fr-FR" w:bidi="fr-FR"/>
        </w:rPr>
        <w:tab/>
      </w:r>
      <w:r w:rsidRPr="00C57F5E">
        <w:rPr>
          <w:lang w:eastAsia="fr-FR" w:bidi="fr-FR"/>
        </w:rPr>
        <w:t>De 1970 à aujourd’hui</w:t>
      </w:r>
      <w:r w:rsidRPr="00C57F5E">
        <w:t> :</w:t>
      </w:r>
      <w:r w:rsidRPr="00C57F5E">
        <w:rPr>
          <w:lang w:eastAsia="fr-FR" w:bidi="fr-FR"/>
        </w:rPr>
        <w:t xml:space="preserve"> le rapport de force se déplace favor</w:t>
      </w:r>
      <w:r w:rsidRPr="00C57F5E">
        <w:rPr>
          <w:lang w:eastAsia="fr-FR" w:bidi="fr-FR"/>
        </w:rPr>
        <w:t>i</w:t>
      </w:r>
      <w:r w:rsidRPr="00C57F5E">
        <w:rPr>
          <w:lang w:eastAsia="fr-FR" w:bidi="fr-FR"/>
        </w:rPr>
        <w:t>sant de façon durable les États pétroliers.</w:t>
      </w:r>
    </w:p>
    <w:p w14:paraId="668B2504" w14:textId="77777777" w:rsidR="00833514" w:rsidRDefault="00833514" w:rsidP="00833514">
      <w:pPr>
        <w:spacing w:before="120" w:after="120"/>
        <w:jc w:val="both"/>
        <w:rPr>
          <w:lang w:eastAsia="fr-FR" w:bidi="fr-FR"/>
        </w:rPr>
      </w:pPr>
    </w:p>
    <w:p w14:paraId="0317F920" w14:textId="77777777" w:rsidR="00833514" w:rsidRPr="00C57F5E" w:rsidRDefault="00833514" w:rsidP="00833514">
      <w:pPr>
        <w:spacing w:before="120" w:after="120"/>
        <w:jc w:val="both"/>
      </w:pPr>
      <w:r w:rsidRPr="00C57F5E">
        <w:rPr>
          <w:lang w:eastAsia="fr-FR" w:bidi="fr-FR"/>
        </w:rPr>
        <w:t>Caractérisons chacune des ces trois périodes</w:t>
      </w:r>
      <w:r w:rsidRPr="00C57F5E">
        <w:t> :</w:t>
      </w:r>
    </w:p>
    <w:p w14:paraId="49BCFEF7" w14:textId="77777777" w:rsidR="00833514" w:rsidRDefault="00833514" w:rsidP="00833514">
      <w:pPr>
        <w:spacing w:before="120" w:after="120"/>
        <w:jc w:val="both"/>
      </w:pPr>
    </w:p>
    <w:p w14:paraId="728E285D" w14:textId="77777777" w:rsidR="00833514" w:rsidRPr="00C57F5E" w:rsidRDefault="00833514" w:rsidP="00833514">
      <w:pPr>
        <w:spacing w:before="120" w:after="120"/>
        <w:jc w:val="both"/>
      </w:pPr>
      <w:r w:rsidRPr="00C57F5E">
        <w:t xml:space="preserve">1) </w:t>
      </w:r>
      <w:r w:rsidRPr="00F015EB">
        <w:rPr>
          <w:b/>
          <w:color w:val="FF0000"/>
          <w:u w:val="single"/>
        </w:rPr>
        <w:t>Jusqu’en 1965</w:t>
      </w:r>
      <w:r w:rsidRPr="00C57F5E">
        <w:t xml:space="preserve">, </w:t>
      </w:r>
      <w:r w:rsidRPr="00C57F5E">
        <w:rPr>
          <w:lang w:eastAsia="fr-FR" w:bidi="fr-FR"/>
        </w:rPr>
        <w:t>les Majors, bien coalisés, parviennent à acheter bon marché des États pétroliers divisés et accumulent d’importants profits. Ces profits sont utilisés pour le financement des équipements nécessaires à la croissance de la produ</w:t>
      </w:r>
      <w:r w:rsidRPr="00C57F5E">
        <w:rPr>
          <w:lang w:eastAsia="fr-FR" w:bidi="fr-FR"/>
        </w:rPr>
        <w:t>c</w:t>
      </w:r>
      <w:r w:rsidRPr="00C57F5E">
        <w:rPr>
          <w:lang w:eastAsia="fr-FR" w:bidi="fr-FR"/>
        </w:rPr>
        <w:t>tion et pour permettre l’intégration des activités pétrolières d</w:t>
      </w:r>
      <w:r w:rsidRPr="00C57F5E">
        <w:rPr>
          <w:lang w:eastAsia="fr-FR" w:bidi="fr-FR"/>
        </w:rPr>
        <w:t>e</w:t>
      </w:r>
      <w:r w:rsidRPr="00C57F5E">
        <w:rPr>
          <w:lang w:eastAsia="fr-FR" w:bidi="fr-FR"/>
        </w:rPr>
        <w:t>puis l’exploration de nouveaux gisements jusqu’à la station service.</w:t>
      </w:r>
    </w:p>
    <w:p w14:paraId="52AF7870" w14:textId="77777777" w:rsidR="00833514" w:rsidRPr="00C57F5E" w:rsidRDefault="00833514" w:rsidP="00833514">
      <w:pPr>
        <w:spacing w:before="120" w:after="120"/>
        <w:jc w:val="both"/>
      </w:pPr>
      <w:r w:rsidRPr="00C57F5E">
        <w:rPr>
          <w:lang w:eastAsia="fr-FR" w:bidi="fr-FR"/>
        </w:rPr>
        <w:t>Les compagnies sont d’autant plus motivées à faire ces investiss</w:t>
      </w:r>
      <w:r w:rsidRPr="00C57F5E">
        <w:rPr>
          <w:lang w:eastAsia="fr-FR" w:bidi="fr-FR"/>
        </w:rPr>
        <w:t>e</w:t>
      </w:r>
      <w:r w:rsidRPr="00C57F5E">
        <w:rPr>
          <w:lang w:eastAsia="fr-FR" w:bidi="fr-FR"/>
        </w:rPr>
        <w:t>ments que ces coûts ainsi que les royalties</w:t>
      </w:r>
      <w:r>
        <w:t> </w:t>
      </w:r>
      <w:r>
        <w:rPr>
          <w:rStyle w:val="Appelnotedebasdep"/>
        </w:rPr>
        <w:footnoteReference w:id="6"/>
      </w:r>
      <w:r w:rsidRPr="00C57F5E">
        <w:rPr>
          <w:lang w:eastAsia="fr-FR" w:bidi="fr-FR"/>
        </w:rPr>
        <w:t xml:space="preserve"> versées aux États pétr</w:t>
      </w:r>
      <w:r w:rsidRPr="00C57F5E">
        <w:rPr>
          <w:lang w:eastAsia="fr-FR" w:bidi="fr-FR"/>
        </w:rPr>
        <w:t>o</w:t>
      </w:r>
      <w:r w:rsidRPr="00C57F5E">
        <w:rPr>
          <w:lang w:eastAsia="fr-FR" w:bidi="fr-FR"/>
        </w:rPr>
        <w:t>liers sont déductibles de l’impôt sur le revenu</w:t>
      </w:r>
      <w:r>
        <w:t> </w:t>
      </w:r>
      <w:r>
        <w:rPr>
          <w:rStyle w:val="Appelnotedebasdep"/>
        </w:rPr>
        <w:footnoteReference w:id="7"/>
      </w:r>
      <w:r w:rsidRPr="00C57F5E">
        <w:rPr>
          <w:lang w:eastAsia="fr-FR" w:bidi="fr-FR"/>
        </w:rPr>
        <w:t xml:space="preserve"> ce qui a pour effet de rendre minime le taux d’imposition sur leurs profits</w:t>
      </w:r>
      <w:r w:rsidRPr="00C57F5E">
        <w:t> :</w:t>
      </w:r>
    </w:p>
    <w:p w14:paraId="30AC35E2" w14:textId="77777777" w:rsidR="00833514" w:rsidRPr="00C57F5E" w:rsidRDefault="00833514" w:rsidP="00833514">
      <w:pPr>
        <w:spacing w:before="120" w:after="120"/>
        <w:jc w:val="both"/>
      </w:pPr>
      <w:r w:rsidRPr="00C57F5E">
        <w:t>« </w:t>
      </w:r>
      <w:r w:rsidRPr="00C57F5E">
        <w:rPr>
          <w:lang w:eastAsia="fr-FR" w:bidi="fr-FR"/>
        </w:rPr>
        <w:t>Alors que le taux d’imposition moyen des sociétés américaines est de 48</w:t>
      </w:r>
      <w:r>
        <w:rPr>
          <w:lang w:eastAsia="fr-FR" w:bidi="fr-FR"/>
        </w:rPr>
        <w:t>%</w:t>
      </w:r>
      <w:r w:rsidRPr="00C57F5E">
        <w:rPr>
          <w:lang w:eastAsia="fr-FR" w:bidi="fr-FR"/>
        </w:rPr>
        <w:t>, les dix-neuf plus grandes compagnies pétrolières amér</w:t>
      </w:r>
      <w:r w:rsidRPr="00C57F5E">
        <w:rPr>
          <w:lang w:eastAsia="fr-FR" w:bidi="fr-FR"/>
        </w:rPr>
        <w:t>i</w:t>
      </w:r>
      <w:r w:rsidRPr="00C57F5E">
        <w:rPr>
          <w:lang w:eastAsia="fr-FR" w:bidi="fr-FR"/>
        </w:rPr>
        <w:t>caines n’ont payé au fisc en 1974 que 7,6</w:t>
      </w:r>
      <w:r>
        <w:rPr>
          <w:lang w:eastAsia="fr-FR" w:bidi="fr-FR"/>
        </w:rPr>
        <w:t>%</w:t>
      </w:r>
      <w:r w:rsidRPr="00C57F5E">
        <w:rPr>
          <w:lang w:eastAsia="fr-FR" w:bidi="fr-FR"/>
        </w:rPr>
        <w:t xml:space="preserve"> de leur revenu avant taxes</w:t>
      </w:r>
      <w:r w:rsidRPr="00C57F5E">
        <w:t> »</w:t>
      </w:r>
      <w:r>
        <w:t> </w:t>
      </w:r>
      <w:r>
        <w:rPr>
          <w:rStyle w:val="Appelnotedebasdep"/>
        </w:rPr>
        <w:footnoteReference w:id="8"/>
      </w:r>
      <w:r w:rsidRPr="00C57F5E">
        <w:rPr>
          <w:lang w:eastAsia="fr-FR" w:bidi="fr-FR"/>
        </w:rPr>
        <w:t>.</w:t>
      </w:r>
    </w:p>
    <w:p w14:paraId="599BE6BB" w14:textId="77777777" w:rsidR="00833514" w:rsidRPr="00C57F5E" w:rsidRDefault="00833514" w:rsidP="00833514">
      <w:pPr>
        <w:spacing w:before="120" w:after="120"/>
        <w:jc w:val="both"/>
      </w:pPr>
      <w:r w:rsidRPr="00C57F5E">
        <w:rPr>
          <w:lang w:eastAsia="fr-FR" w:bidi="fr-FR"/>
        </w:rPr>
        <w:lastRenderedPageBreak/>
        <w:t>Un autre aspect de l’utilisation par les Majors de ces masses i</w:t>
      </w:r>
      <w:r w:rsidRPr="00C57F5E">
        <w:rPr>
          <w:lang w:eastAsia="fr-FR" w:bidi="fr-FR"/>
        </w:rPr>
        <w:t>m</w:t>
      </w:r>
      <w:r w:rsidRPr="00C57F5E">
        <w:rPr>
          <w:lang w:eastAsia="fr-FR" w:bidi="fr-FR"/>
        </w:rPr>
        <w:t xml:space="preserve">portantes de capitaux est le développement de leur mainmise sur le marché par l’exclusion des </w:t>
      </w:r>
      <w:r w:rsidRPr="00C57F5E">
        <w:t>« </w:t>
      </w:r>
      <w:r w:rsidRPr="00C57F5E">
        <w:rPr>
          <w:lang w:eastAsia="fr-FR" w:bidi="fr-FR"/>
        </w:rPr>
        <w:t>outsiders</w:t>
      </w:r>
      <w:r w:rsidRPr="00C57F5E">
        <w:t> »</w:t>
      </w:r>
      <w:r w:rsidRPr="00C57F5E">
        <w:rPr>
          <w:lang w:eastAsia="fr-FR" w:bidi="fr-FR"/>
        </w:rPr>
        <w:t xml:space="preserve"> que ce soient de petites co</w:t>
      </w:r>
      <w:r w:rsidRPr="00C57F5E">
        <w:rPr>
          <w:lang w:eastAsia="fr-FR" w:bidi="fr-FR"/>
        </w:rPr>
        <w:t>m</w:t>
      </w:r>
      <w:r w:rsidRPr="00C57F5E">
        <w:rPr>
          <w:lang w:eastAsia="fr-FR" w:bidi="fr-FR"/>
        </w:rPr>
        <w:t>pagnies (l’affaire Mattéi), des consommateurs r</w:t>
      </w:r>
      <w:r w:rsidRPr="00C57F5E">
        <w:rPr>
          <w:lang w:eastAsia="fr-FR" w:bidi="fr-FR"/>
        </w:rPr>
        <w:t>é</w:t>
      </w:r>
      <w:r w:rsidRPr="00C57F5E">
        <w:rPr>
          <w:lang w:eastAsia="fr-FR" w:bidi="fr-FR"/>
        </w:rPr>
        <w:t>calcitrants ou des États pétroliers revendicateurs (le cas du premier ministre Mossadegh en Iran, 1951).</w:t>
      </w:r>
    </w:p>
    <w:p w14:paraId="4CEF86A6" w14:textId="77777777" w:rsidR="00833514" w:rsidRPr="00C57F5E" w:rsidRDefault="00833514" w:rsidP="00833514">
      <w:pPr>
        <w:spacing w:before="120" w:after="120"/>
        <w:jc w:val="both"/>
      </w:pPr>
      <w:r w:rsidRPr="00C57F5E">
        <w:rPr>
          <w:lang w:eastAsia="fr-FR" w:bidi="fr-FR"/>
        </w:rPr>
        <w:t>Il est évident que ce contrôle quasi-absolu du marché inte</w:t>
      </w:r>
      <w:r w:rsidRPr="00C57F5E">
        <w:rPr>
          <w:lang w:eastAsia="fr-FR" w:bidi="fr-FR"/>
        </w:rPr>
        <w:t>r</w:t>
      </w:r>
      <w:r w:rsidRPr="00C57F5E">
        <w:rPr>
          <w:lang w:eastAsia="fr-FR" w:bidi="fr-FR"/>
        </w:rPr>
        <w:t>national n’a été possible que grâce à une discipline stricte de cartel entre les Majors. Celle-ci s’est manifesté, entre autre, par un contrôle serré de l’accroissement de la production pour év</w:t>
      </w:r>
      <w:r w:rsidRPr="00C57F5E">
        <w:rPr>
          <w:lang w:eastAsia="fr-FR" w:bidi="fr-FR"/>
        </w:rPr>
        <w:t>i</w:t>
      </w:r>
      <w:r w:rsidRPr="00C57F5E">
        <w:rPr>
          <w:lang w:eastAsia="fr-FR" w:bidi="fr-FR"/>
        </w:rPr>
        <w:t>ter toute pression à la baisse sur les prix. Ainsi, malgré tous les événements qui purent se produire entre 1950 et 1970, la pr</w:t>
      </w:r>
      <w:r w:rsidRPr="00C57F5E">
        <w:rPr>
          <w:lang w:eastAsia="fr-FR" w:bidi="fr-FR"/>
        </w:rPr>
        <w:t>o</w:t>
      </w:r>
      <w:r w:rsidRPr="00C57F5E">
        <w:rPr>
          <w:lang w:eastAsia="fr-FR" w:bidi="fr-FR"/>
        </w:rPr>
        <w:t>duction globale des pays de l’OPEP s’est accrue au rythme moyen de 9,55</w:t>
      </w:r>
      <w:r>
        <w:rPr>
          <w:lang w:eastAsia="fr-FR" w:bidi="fr-FR"/>
        </w:rPr>
        <w:t>%</w:t>
      </w:r>
      <w:r w:rsidRPr="00C57F5E">
        <w:rPr>
          <w:lang w:eastAsia="fr-FR" w:bidi="fr-FR"/>
        </w:rPr>
        <w:t xml:space="preserve"> par année comme on peut le con</w:t>
      </w:r>
      <w:r w:rsidRPr="00C57F5E">
        <w:rPr>
          <w:lang w:eastAsia="fr-FR" w:bidi="fr-FR"/>
        </w:rPr>
        <w:t>s</w:t>
      </w:r>
      <w:r w:rsidRPr="00C57F5E">
        <w:rPr>
          <w:lang w:eastAsia="fr-FR" w:bidi="fr-FR"/>
        </w:rPr>
        <w:t>tater sur la figure</w:t>
      </w:r>
      <w:r>
        <w:rPr>
          <w:lang w:eastAsia="fr-FR" w:bidi="fr-FR"/>
        </w:rPr>
        <w:t> </w:t>
      </w:r>
      <w:r w:rsidRPr="00C57F5E">
        <w:rPr>
          <w:lang w:eastAsia="fr-FR" w:bidi="fr-FR"/>
        </w:rPr>
        <w:t>2.</w:t>
      </w:r>
    </w:p>
    <w:p w14:paraId="1C0D6BAB" w14:textId="77777777" w:rsidR="00833514" w:rsidRDefault="00833514" w:rsidP="00833514">
      <w:pPr>
        <w:spacing w:before="120" w:after="120"/>
        <w:jc w:val="both"/>
      </w:pPr>
      <w:r>
        <w:t>[105]</w:t>
      </w:r>
    </w:p>
    <w:p w14:paraId="49E83F09" w14:textId="77777777" w:rsidR="00833514" w:rsidRDefault="00833514" w:rsidP="00833514">
      <w:pPr>
        <w:spacing w:before="120" w:after="120"/>
        <w:jc w:val="both"/>
      </w:pPr>
    </w:p>
    <w:p w14:paraId="6DC713C9" w14:textId="77777777" w:rsidR="00833514" w:rsidRPr="00C57F5E" w:rsidRDefault="00833514" w:rsidP="00833514">
      <w:pPr>
        <w:spacing w:before="120" w:after="120"/>
        <w:jc w:val="both"/>
      </w:pPr>
      <w:r>
        <w:rPr>
          <w:lang w:eastAsia="fr-FR" w:bidi="fr-FR"/>
        </w:rPr>
        <w:t xml:space="preserve">2) </w:t>
      </w:r>
      <w:r w:rsidRPr="00F015EB">
        <w:rPr>
          <w:b/>
          <w:color w:val="FF0000"/>
          <w:u w:val="single"/>
          <w:lang w:eastAsia="fr-FR" w:bidi="fr-FR"/>
        </w:rPr>
        <w:t>De 1965 à 1970</w:t>
      </w:r>
      <w:r w:rsidRPr="00C57F5E">
        <w:rPr>
          <w:lang w:eastAsia="fr-FR" w:bidi="fr-FR"/>
        </w:rPr>
        <w:t>, les Majors perdent en partie le contrôle de la situation</w:t>
      </w:r>
      <w:r w:rsidRPr="00C57F5E">
        <w:t> ;</w:t>
      </w:r>
      <w:r w:rsidRPr="00C57F5E">
        <w:rPr>
          <w:lang w:eastAsia="fr-FR" w:bidi="fr-FR"/>
        </w:rPr>
        <w:t xml:space="preserve"> la concurrence libyenne fait baisser les prix et les États consommateurs deviennent pour quelques temps, les principaux bén</w:t>
      </w:r>
      <w:r w:rsidRPr="00C57F5E">
        <w:rPr>
          <w:lang w:eastAsia="fr-FR" w:bidi="fr-FR"/>
        </w:rPr>
        <w:t>é</w:t>
      </w:r>
      <w:r w:rsidRPr="00C57F5E">
        <w:rPr>
          <w:lang w:eastAsia="fr-FR" w:bidi="fr-FR"/>
        </w:rPr>
        <w:t>ficiaires du surplus pétrolier.</w:t>
      </w:r>
    </w:p>
    <w:p w14:paraId="094EE5DB" w14:textId="77777777" w:rsidR="00833514" w:rsidRPr="00C57F5E" w:rsidRDefault="00833514" w:rsidP="00833514">
      <w:pPr>
        <w:spacing w:before="120" w:after="120"/>
        <w:jc w:val="both"/>
      </w:pPr>
      <w:r w:rsidRPr="00C57F5E">
        <w:rPr>
          <w:lang w:eastAsia="fr-FR" w:bidi="fr-FR"/>
        </w:rPr>
        <w:t>À la fin des années 50, le Roi Idris de Lybie pour échapper à l’emprise des Sept Soeurs avait accordé des permis de reche</w:t>
      </w:r>
      <w:r w:rsidRPr="00C57F5E">
        <w:rPr>
          <w:lang w:eastAsia="fr-FR" w:bidi="fr-FR"/>
        </w:rPr>
        <w:t>r</w:t>
      </w:r>
      <w:r w:rsidRPr="00C57F5E">
        <w:rPr>
          <w:lang w:eastAsia="fr-FR" w:bidi="fr-FR"/>
        </w:rPr>
        <w:t>che à des compagnies indépendantes (Occidental, Continental...). Ceci leur permet de contrôler 55</w:t>
      </w:r>
      <w:r>
        <w:rPr>
          <w:lang w:eastAsia="fr-FR" w:bidi="fr-FR"/>
        </w:rPr>
        <w:t>%</w:t>
      </w:r>
      <w:r w:rsidRPr="00C57F5E">
        <w:rPr>
          <w:lang w:eastAsia="fr-FR" w:bidi="fr-FR"/>
        </w:rPr>
        <w:t xml:space="preserve"> de la production l</w:t>
      </w:r>
      <w:r w:rsidRPr="00C57F5E">
        <w:rPr>
          <w:lang w:eastAsia="fr-FR" w:bidi="fr-FR"/>
        </w:rPr>
        <w:t>i</w:t>
      </w:r>
      <w:r w:rsidRPr="00C57F5E">
        <w:rPr>
          <w:lang w:eastAsia="fr-FR" w:bidi="fr-FR"/>
        </w:rPr>
        <w:t>byenne alors que leur part dans l’ensemble des États pétroliers ne dépassait pas 15</w:t>
      </w:r>
      <w:r>
        <w:rPr>
          <w:lang w:eastAsia="fr-FR" w:bidi="fr-FR"/>
        </w:rPr>
        <w:t>%</w:t>
      </w:r>
      <w:r w:rsidRPr="00C57F5E">
        <w:rPr>
          <w:lang w:eastAsia="fr-FR" w:bidi="fr-FR"/>
        </w:rPr>
        <w:t>.</w:t>
      </w:r>
    </w:p>
    <w:p w14:paraId="32D4C253" w14:textId="77777777" w:rsidR="00833514" w:rsidRPr="00C57F5E" w:rsidRDefault="00833514" w:rsidP="00833514">
      <w:pPr>
        <w:spacing w:before="120" w:after="120"/>
        <w:jc w:val="both"/>
      </w:pPr>
      <w:r w:rsidRPr="00C57F5E">
        <w:rPr>
          <w:lang w:eastAsia="fr-FR" w:bidi="fr-FR"/>
        </w:rPr>
        <w:t>Pour pouvoir écouler cette quantité de pétrole, les indépendants avaient dû pratiquer des rabais p</w:t>
      </w:r>
      <w:r>
        <w:rPr>
          <w:lang w:eastAsia="fr-FR" w:bidi="fr-FR"/>
        </w:rPr>
        <w:t>a</w:t>
      </w:r>
      <w:r w:rsidRPr="00C57F5E">
        <w:rPr>
          <w:lang w:eastAsia="fr-FR" w:bidi="fr-FR"/>
        </w:rPr>
        <w:t>r rapports aux prix affichés (les f</w:t>
      </w:r>
      <w:r w:rsidRPr="00C57F5E">
        <w:rPr>
          <w:lang w:eastAsia="fr-FR" w:bidi="fr-FR"/>
        </w:rPr>
        <w:t>a</w:t>
      </w:r>
      <w:r w:rsidRPr="00C57F5E">
        <w:rPr>
          <w:lang w:eastAsia="fr-FR" w:bidi="fr-FR"/>
        </w:rPr>
        <w:t xml:space="preserve">meux </w:t>
      </w:r>
      <w:r w:rsidRPr="00C57F5E">
        <w:t>« </w:t>
      </w:r>
      <w:r w:rsidRPr="00C57F5E">
        <w:rPr>
          <w:lang w:eastAsia="fr-FR" w:bidi="fr-FR"/>
        </w:rPr>
        <w:t>Posted Prices</w:t>
      </w:r>
      <w:r w:rsidRPr="00C57F5E">
        <w:t> »</w:t>
      </w:r>
      <w:r w:rsidRPr="00C57F5E">
        <w:rPr>
          <w:lang w:eastAsia="fr-FR" w:bidi="fr-FR"/>
        </w:rPr>
        <w:t>, prix officiel qui sert de r</w:t>
      </w:r>
      <w:r w:rsidRPr="00C57F5E">
        <w:rPr>
          <w:lang w:eastAsia="fr-FR" w:bidi="fr-FR"/>
        </w:rPr>
        <w:t>é</w:t>
      </w:r>
      <w:r w:rsidRPr="00C57F5E">
        <w:rPr>
          <w:lang w:eastAsia="fr-FR" w:bidi="fr-FR"/>
        </w:rPr>
        <w:t>férence au calcu</w:t>
      </w:r>
      <w:r>
        <w:rPr>
          <w:lang w:eastAsia="fr-FR" w:bidi="fr-FR"/>
        </w:rPr>
        <w:t>l des royalties et des taxes). F</w:t>
      </w:r>
      <w:r w:rsidRPr="00C57F5E">
        <w:rPr>
          <w:lang w:eastAsia="fr-FR" w:bidi="fr-FR"/>
        </w:rPr>
        <w:t>ace à cette concurrence, les Majors sont contraints d’aligner leur prix pour vendre la totalité de leur produ</w:t>
      </w:r>
      <w:r w:rsidRPr="00C57F5E">
        <w:rPr>
          <w:lang w:eastAsia="fr-FR" w:bidi="fr-FR"/>
        </w:rPr>
        <w:t>c</w:t>
      </w:r>
      <w:r w:rsidRPr="00C57F5E">
        <w:rPr>
          <w:lang w:eastAsia="fr-FR" w:bidi="fr-FR"/>
        </w:rPr>
        <w:t>tion. De cette façon, en 1969, sur certains marchés d’Europe et du J</w:t>
      </w:r>
      <w:r w:rsidRPr="00C57F5E">
        <w:rPr>
          <w:lang w:eastAsia="fr-FR" w:bidi="fr-FR"/>
        </w:rPr>
        <w:t>a</w:t>
      </w:r>
      <w:r w:rsidRPr="00C57F5E">
        <w:rPr>
          <w:lang w:eastAsia="fr-FR" w:bidi="fr-FR"/>
        </w:rPr>
        <w:t xml:space="preserve">pon, le prix du baril de pétrole se situait à </w:t>
      </w:r>
      <w:r>
        <w:rPr>
          <w:lang w:eastAsia="fr-FR" w:bidi="fr-FR"/>
        </w:rPr>
        <w:t>$ </w:t>
      </w:r>
      <w:r w:rsidRPr="00C57F5E">
        <w:rPr>
          <w:lang w:eastAsia="fr-FR" w:bidi="fr-FR"/>
        </w:rPr>
        <w:t>1.20 alors que le prix aff</w:t>
      </w:r>
      <w:r w:rsidRPr="00C57F5E">
        <w:rPr>
          <w:lang w:eastAsia="fr-FR" w:bidi="fr-FR"/>
        </w:rPr>
        <w:t>i</w:t>
      </w:r>
      <w:r w:rsidRPr="00C57F5E">
        <w:rPr>
          <w:lang w:eastAsia="fr-FR" w:bidi="fr-FR"/>
        </w:rPr>
        <w:t xml:space="preserve">ché demeurait à </w:t>
      </w:r>
      <w:r>
        <w:rPr>
          <w:lang w:eastAsia="fr-FR" w:bidi="fr-FR"/>
        </w:rPr>
        <w:t>$ </w:t>
      </w:r>
      <w:r w:rsidRPr="00C57F5E">
        <w:rPr>
          <w:lang w:eastAsia="fr-FR" w:bidi="fr-FR"/>
        </w:rPr>
        <w:t>1.80. C’est à cette époque que les économistes o</w:t>
      </w:r>
      <w:r w:rsidRPr="00C57F5E">
        <w:rPr>
          <w:lang w:eastAsia="fr-FR" w:bidi="fr-FR"/>
        </w:rPr>
        <w:t>c</w:t>
      </w:r>
      <w:r w:rsidRPr="00C57F5E">
        <w:rPr>
          <w:lang w:eastAsia="fr-FR" w:bidi="fr-FR"/>
        </w:rPr>
        <w:t xml:space="preserve">cidentaux croyaient que le prix du pétrole allait rester bas et peut-être même diminuer jusqu’à </w:t>
      </w:r>
      <w:r>
        <w:rPr>
          <w:lang w:eastAsia="fr-FR" w:bidi="fr-FR"/>
        </w:rPr>
        <w:t>$ </w:t>
      </w:r>
      <w:r w:rsidRPr="00C57F5E">
        <w:rPr>
          <w:lang w:eastAsia="fr-FR" w:bidi="fr-FR"/>
        </w:rPr>
        <w:t>1.00 le baril</w:t>
      </w:r>
      <w:r w:rsidRPr="00C57F5E">
        <w:t> !</w:t>
      </w:r>
    </w:p>
    <w:p w14:paraId="272FB3BC" w14:textId="77777777" w:rsidR="00833514" w:rsidRPr="00C57F5E" w:rsidRDefault="00833514" w:rsidP="00833514">
      <w:pPr>
        <w:spacing w:before="120" w:after="120"/>
        <w:jc w:val="both"/>
      </w:pPr>
      <w:r w:rsidRPr="00C57F5E">
        <w:rPr>
          <w:lang w:eastAsia="fr-FR" w:bidi="fr-FR"/>
        </w:rPr>
        <w:lastRenderedPageBreak/>
        <w:t>Par exemple, le Prof. Adelman, spécialiste incontesté sur la que</w:t>
      </w:r>
      <w:r w:rsidRPr="00C57F5E">
        <w:rPr>
          <w:lang w:eastAsia="fr-FR" w:bidi="fr-FR"/>
        </w:rPr>
        <w:t>s</w:t>
      </w:r>
      <w:r w:rsidRPr="00C57F5E">
        <w:rPr>
          <w:lang w:eastAsia="fr-FR" w:bidi="fr-FR"/>
        </w:rPr>
        <w:t>tion, écrivait en 1969</w:t>
      </w:r>
      <w:r w:rsidRPr="00C57F5E">
        <w:t> :</w:t>
      </w:r>
    </w:p>
    <w:p w14:paraId="6C0EF502" w14:textId="77777777" w:rsidR="00833514" w:rsidRDefault="00833514" w:rsidP="00833514">
      <w:pPr>
        <w:pStyle w:val="Grillecouleur-Accent1"/>
      </w:pPr>
    </w:p>
    <w:p w14:paraId="14DA3308" w14:textId="77777777" w:rsidR="00833514" w:rsidRDefault="00833514" w:rsidP="00833514">
      <w:pPr>
        <w:pStyle w:val="Grillecouleur-Accent1"/>
      </w:pPr>
      <w:r w:rsidRPr="00BF69D7">
        <w:t>« Ainsi le pronostic est : continuation de la baisse des prix mais à un taux très lent et graduel » (cité par John Blair).</w:t>
      </w:r>
    </w:p>
    <w:p w14:paraId="11E48390" w14:textId="77777777" w:rsidR="00833514" w:rsidRPr="00BF69D7" w:rsidRDefault="00833514" w:rsidP="00833514">
      <w:pPr>
        <w:pStyle w:val="Grillecouleur-Accent1"/>
      </w:pPr>
    </w:p>
    <w:p w14:paraId="0697F3FF" w14:textId="77777777" w:rsidR="00833514" w:rsidRPr="00C57F5E" w:rsidRDefault="00833514" w:rsidP="00833514">
      <w:pPr>
        <w:spacing w:before="120" w:after="120"/>
        <w:jc w:val="both"/>
      </w:pPr>
      <w:r w:rsidRPr="00C57F5E">
        <w:rPr>
          <w:lang w:eastAsia="fr-FR" w:bidi="fr-FR"/>
        </w:rPr>
        <w:t>Évidemment, d’autres facteurs jouaient à la baisse sur le prix du pétrole</w:t>
      </w:r>
      <w:r w:rsidRPr="00C57F5E">
        <w:t> ;</w:t>
      </w:r>
      <w:r w:rsidRPr="00C57F5E">
        <w:rPr>
          <w:lang w:eastAsia="fr-FR" w:bidi="fr-FR"/>
        </w:rPr>
        <w:t xml:space="preserve"> baisse des coûts, nouveaux gisements, concurrence éventue</w:t>
      </w:r>
      <w:r w:rsidRPr="00C57F5E">
        <w:rPr>
          <w:lang w:eastAsia="fr-FR" w:bidi="fr-FR"/>
        </w:rPr>
        <w:t>l</w:t>
      </w:r>
      <w:r w:rsidRPr="00C57F5E">
        <w:rPr>
          <w:lang w:eastAsia="fr-FR" w:bidi="fr-FR"/>
        </w:rPr>
        <w:t>le de l’électro-nucléaire... Mais voilà que le pays qui avait plus ou moins provoqué cette chute du prix du brut, va être à l’origine de sa remo</w:t>
      </w:r>
      <w:r w:rsidRPr="00C57F5E">
        <w:rPr>
          <w:lang w:eastAsia="fr-FR" w:bidi="fr-FR"/>
        </w:rPr>
        <w:t>n</w:t>
      </w:r>
      <w:r w:rsidRPr="00C57F5E">
        <w:rPr>
          <w:lang w:eastAsia="fr-FR" w:bidi="fr-FR"/>
        </w:rPr>
        <w:t>tée à des niveaux jamais prévus.</w:t>
      </w:r>
    </w:p>
    <w:p w14:paraId="0E783875" w14:textId="77777777" w:rsidR="00833514" w:rsidRPr="00BF69D7" w:rsidRDefault="00833514" w:rsidP="00833514">
      <w:pPr>
        <w:spacing w:before="120" w:after="120"/>
        <w:jc w:val="both"/>
        <w:rPr>
          <w:b/>
          <w:u w:val="single"/>
        </w:rPr>
      </w:pPr>
    </w:p>
    <w:p w14:paraId="351AAA89" w14:textId="77777777" w:rsidR="00833514" w:rsidRPr="00C57F5E" w:rsidRDefault="00833514" w:rsidP="00833514">
      <w:pPr>
        <w:spacing w:before="120" w:after="120"/>
        <w:jc w:val="both"/>
      </w:pPr>
      <w:r w:rsidRPr="00F015EB">
        <w:t>3)</w:t>
      </w:r>
      <w:r w:rsidRPr="00F015EB">
        <w:rPr>
          <w:b/>
        </w:rPr>
        <w:t xml:space="preserve"> </w:t>
      </w:r>
      <w:r w:rsidRPr="00F015EB">
        <w:rPr>
          <w:b/>
          <w:color w:val="FF0000"/>
          <w:u w:val="single"/>
        </w:rPr>
        <w:t>Depuis</w:t>
      </w:r>
      <w:r w:rsidRPr="00F015EB">
        <w:rPr>
          <w:color w:val="FF0000"/>
          <w:u w:val="single"/>
        </w:rPr>
        <w:t xml:space="preserve"> </w:t>
      </w:r>
      <w:r w:rsidRPr="00F015EB">
        <w:rPr>
          <w:b/>
          <w:color w:val="FF0000"/>
          <w:u w:val="single"/>
        </w:rPr>
        <w:t>1971</w:t>
      </w:r>
      <w:r w:rsidRPr="00C57F5E">
        <w:t xml:space="preserve">, et surtout 1973, </w:t>
      </w:r>
      <w:r w:rsidRPr="00C57F5E">
        <w:rPr>
          <w:lang w:eastAsia="fr-FR" w:bidi="fr-FR"/>
        </w:rPr>
        <w:t>les États pétroliers prennent l’initiative et récupèrent une grande partie du surplus pétrolier avec, au moins au début, l’appui des américains.</w:t>
      </w:r>
    </w:p>
    <w:p w14:paraId="5B0D0EED" w14:textId="77777777" w:rsidR="00833514" w:rsidRPr="00C57F5E" w:rsidRDefault="00833514" w:rsidP="00833514">
      <w:pPr>
        <w:spacing w:before="120" w:after="120"/>
        <w:jc w:val="both"/>
      </w:pPr>
      <w:r w:rsidRPr="00C57F5E">
        <w:rPr>
          <w:lang w:eastAsia="fr-FR" w:bidi="fr-FR"/>
        </w:rPr>
        <w:t>Comme on le signalait plus haut, dès la mise en place de son indu</w:t>
      </w:r>
      <w:r w:rsidRPr="00C57F5E">
        <w:rPr>
          <w:lang w:eastAsia="fr-FR" w:bidi="fr-FR"/>
        </w:rPr>
        <w:t>s</w:t>
      </w:r>
      <w:r w:rsidRPr="00C57F5E">
        <w:rPr>
          <w:lang w:eastAsia="fr-FR" w:bidi="fr-FR"/>
        </w:rPr>
        <w:t>trie pétrolière, l’État libyen avait gardé ses</w:t>
      </w:r>
      <w:r>
        <w:t xml:space="preserve"> [106] </w:t>
      </w:r>
      <w:r w:rsidRPr="00C57F5E">
        <w:rPr>
          <w:lang w:eastAsia="fr-FR" w:bidi="fr-FR"/>
        </w:rPr>
        <w:t>distances face aux Majors. Ceci n’avait été possible qu’en vendant son pétrole moins cher et en produisant à un tel point que ses puits menaçaient de s’épuiser rapidement. Aussi, une des premières mes</w:t>
      </w:r>
      <w:r w:rsidRPr="00C57F5E">
        <w:rPr>
          <w:lang w:eastAsia="fr-FR" w:bidi="fr-FR"/>
        </w:rPr>
        <w:t>u</w:t>
      </w:r>
      <w:r w:rsidRPr="00C57F5E">
        <w:rPr>
          <w:lang w:eastAsia="fr-FR" w:bidi="fr-FR"/>
        </w:rPr>
        <w:t>res prises par le colonel Kadhafi, après son coup d’état de septembre 1969, fut d’exiger le relèvement i</w:t>
      </w:r>
      <w:r w:rsidRPr="00C57F5E">
        <w:rPr>
          <w:lang w:eastAsia="fr-FR" w:bidi="fr-FR"/>
        </w:rPr>
        <w:t>m</w:t>
      </w:r>
      <w:r w:rsidRPr="00C57F5E">
        <w:rPr>
          <w:lang w:eastAsia="fr-FR" w:bidi="fr-FR"/>
        </w:rPr>
        <w:t>médiat du prix du brut libyen.</w:t>
      </w:r>
    </w:p>
    <w:p w14:paraId="1F028D0A" w14:textId="77777777" w:rsidR="00833514" w:rsidRPr="00C57F5E" w:rsidRDefault="00833514" w:rsidP="00833514">
      <w:pPr>
        <w:spacing w:before="120" w:after="120"/>
        <w:jc w:val="both"/>
      </w:pPr>
      <w:r w:rsidRPr="00C57F5E">
        <w:rPr>
          <w:lang w:eastAsia="fr-FR" w:bidi="fr-FR"/>
        </w:rPr>
        <w:t>Ceci fut obtenu d’autant plus facilement que le pétrole libyen bén</w:t>
      </w:r>
      <w:r w:rsidRPr="00C57F5E">
        <w:rPr>
          <w:lang w:eastAsia="fr-FR" w:bidi="fr-FR"/>
        </w:rPr>
        <w:t>é</w:t>
      </w:r>
      <w:r w:rsidRPr="00C57F5E">
        <w:rPr>
          <w:lang w:eastAsia="fr-FR" w:bidi="fr-FR"/>
        </w:rPr>
        <w:t>ficie d’importants avantages (proximité des marchés européens, faible teneur en soufre) et qu’il affrontait des co</w:t>
      </w:r>
      <w:r w:rsidRPr="00C57F5E">
        <w:rPr>
          <w:lang w:eastAsia="fr-FR" w:bidi="fr-FR"/>
        </w:rPr>
        <w:t>m</w:t>
      </w:r>
      <w:r w:rsidRPr="00C57F5E">
        <w:rPr>
          <w:lang w:eastAsia="fr-FR" w:bidi="fr-FR"/>
        </w:rPr>
        <w:t>pagnies indépendantes très vulnérables comme l’Occ</w:t>
      </w:r>
      <w:r>
        <w:rPr>
          <w:lang w:eastAsia="fr-FR" w:bidi="fr-FR"/>
        </w:rPr>
        <w:t xml:space="preserve">idental. Aussi, le 4 septembre </w:t>
      </w:r>
      <w:r w:rsidRPr="00C57F5E">
        <w:rPr>
          <w:lang w:eastAsia="fr-FR" w:bidi="fr-FR"/>
        </w:rPr>
        <w:t>1970, l’Occidental accepte une augmentation immédiate de 30 cents et de 40 cents au bout de cinq ans. Dans les jours qui suivent les autres comp</w:t>
      </w:r>
      <w:r w:rsidRPr="00C57F5E">
        <w:rPr>
          <w:lang w:eastAsia="fr-FR" w:bidi="fr-FR"/>
        </w:rPr>
        <w:t>a</w:t>
      </w:r>
      <w:r w:rsidRPr="00C57F5E">
        <w:rPr>
          <w:lang w:eastAsia="fr-FR" w:bidi="fr-FR"/>
        </w:rPr>
        <w:t>gnies acceptent ces hausses. Le rapport de force commence alors à se modifier en faveur des États Pétroliers.</w:t>
      </w:r>
    </w:p>
    <w:p w14:paraId="3FE98489" w14:textId="77777777" w:rsidR="00833514" w:rsidRDefault="00833514" w:rsidP="00833514">
      <w:pPr>
        <w:spacing w:before="120" w:after="120"/>
        <w:jc w:val="both"/>
        <w:rPr>
          <w:lang w:eastAsia="fr-FR" w:bidi="fr-FR"/>
        </w:rPr>
      </w:pPr>
      <w:r>
        <w:rPr>
          <w:lang w:eastAsia="fr-FR" w:bidi="fr-FR"/>
        </w:rPr>
        <w:br w:type="page"/>
      </w:r>
    </w:p>
    <w:p w14:paraId="7C8E55AE" w14:textId="77777777" w:rsidR="00833514" w:rsidRPr="00C57F5E" w:rsidRDefault="00833514" w:rsidP="00833514">
      <w:pPr>
        <w:pStyle w:val="a"/>
      </w:pPr>
      <w:r w:rsidRPr="00C57F5E">
        <w:rPr>
          <w:lang w:eastAsia="fr-FR" w:bidi="fr-FR"/>
        </w:rPr>
        <w:t>1971-1980</w:t>
      </w:r>
      <w:r w:rsidRPr="00C57F5E">
        <w:t> :</w:t>
      </w:r>
      <w:r>
        <w:rPr>
          <w:lang w:eastAsia="fr-FR" w:bidi="fr-FR"/>
        </w:rPr>
        <w:br/>
      </w:r>
      <w:r w:rsidRPr="00C57F5E">
        <w:rPr>
          <w:lang w:eastAsia="fr-FR" w:bidi="fr-FR"/>
        </w:rPr>
        <w:t>crise du pétrole ou crise du capitalisme</w:t>
      </w:r>
      <w:r w:rsidRPr="00C57F5E">
        <w:t> ?</w:t>
      </w:r>
    </w:p>
    <w:p w14:paraId="7B79F336" w14:textId="77777777" w:rsidR="00833514" w:rsidRDefault="00833514" w:rsidP="00833514">
      <w:pPr>
        <w:spacing w:before="120" w:after="120"/>
        <w:jc w:val="both"/>
        <w:rPr>
          <w:lang w:eastAsia="fr-FR" w:bidi="fr-FR"/>
        </w:rPr>
      </w:pPr>
    </w:p>
    <w:p w14:paraId="10745A54" w14:textId="77777777" w:rsidR="00833514" w:rsidRPr="00C57F5E" w:rsidRDefault="00833514" w:rsidP="00833514">
      <w:pPr>
        <w:pStyle w:val="b"/>
      </w:pPr>
      <w:r w:rsidRPr="00C57F5E">
        <w:rPr>
          <w:lang w:eastAsia="fr-FR" w:bidi="fr-FR"/>
        </w:rPr>
        <w:t>Les premières victoires de l’OPEP</w:t>
      </w:r>
    </w:p>
    <w:p w14:paraId="5AB9F7CB" w14:textId="77777777" w:rsidR="00833514" w:rsidRDefault="00833514" w:rsidP="00833514">
      <w:pPr>
        <w:spacing w:before="120" w:after="120"/>
        <w:jc w:val="both"/>
        <w:rPr>
          <w:lang w:eastAsia="fr-FR" w:bidi="fr-FR"/>
        </w:rPr>
      </w:pPr>
    </w:p>
    <w:p w14:paraId="2B641830" w14:textId="77777777" w:rsidR="00833514" w:rsidRPr="00C57F5E" w:rsidRDefault="00833514" w:rsidP="00833514">
      <w:pPr>
        <w:spacing w:before="120" w:after="120"/>
        <w:jc w:val="both"/>
      </w:pPr>
      <w:r w:rsidRPr="00C57F5E">
        <w:rPr>
          <w:lang w:eastAsia="fr-FR" w:bidi="fr-FR"/>
        </w:rPr>
        <w:t>Encouragée par l’exemple lybien, l’OPEP (Organisation des pays exportateurs de pétrole, 1960) obtient avec les accords de Téhéran (15 février 1971) et de Tripoli (20 mars) une première victoire faisant pa</w:t>
      </w:r>
      <w:r w:rsidRPr="00C57F5E">
        <w:rPr>
          <w:lang w:eastAsia="fr-FR" w:bidi="fr-FR"/>
        </w:rPr>
        <w:t>s</w:t>
      </w:r>
      <w:r w:rsidRPr="00C57F5E">
        <w:rPr>
          <w:lang w:eastAsia="fr-FR" w:bidi="fr-FR"/>
        </w:rPr>
        <w:t xml:space="preserve">ser le prix de base du brut de </w:t>
      </w:r>
      <w:r>
        <w:rPr>
          <w:lang w:eastAsia="fr-FR" w:bidi="fr-FR"/>
        </w:rPr>
        <w:t>$ </w:t>
      </w:r>
      <w:r w:rsidRPr="00C57F5E">
        <w:rPr>
          <w:lang w:eastAsia="fr-FR" w:bidi="fr-FR"/>
        </w:rPr>
        <w:t xml:space="preserve">2.23 le baril à </w:t>
      </w:r>
      <w:r>
        <w:rPr>
          <w:lang w:eastAsia="fr-FR" w:bidi="fr-FR"/>
        </w:rPr>
        <w:t>$ </w:t>
      </w:r>
      <w:r w:rsidRPr="00C57F5E">
        <w:rPr>
          <w:lang w:eastAsia="fr-FR" w:bidi="fr-FR"/>
        </w:rPr>
        <w:t>3,17 ainsi qu’un rel</w:t>
      </w:r>
      <w:r w:rsidRPr="00C57F5E">
        <w:rPr>
          <w:lang w:eastAsia="fr-FR" w:bidi="fr-FR"/>
        </w:rPr>
        <w:t>è</w:t>
      </w:r>
      <w:r w:rsidRPr="00C57F5E">
        <w:rPr>
          <w:lang w:eastAsia="fr-FR" w:bidi="fr-FR"/>
        </w:rPr>
        <w:t>vement de la taxe perçue par les pays exportateurs de 50 à 55</w:t>
      </w:r>
      <w:r>
        <w:rPr>
          <w:lang w:eastAsia="fr-FR" w:bidi="fr-FR"/>
        </w:rPr>
        <w:t>%</w:t>
      </w:r>
      <w:r w:rsidRPr="00C57F5E">
        <w:rPr>
          <w:lang w:eastAsia="fr-FR" w:bidi="fr-FR"/>
        </w:rPr>
        <w:t>. Cette victoire, pour importante qu’elle est, ne signifiait pas un retournement total de la situation. En effet, en 1972, les pays de l’OPEP ne perc</w:t>
      </w:r>
      <w:r w:rsidRPr="00C57F5E">
        <w:rPr>
          <w:lang w:eastAsia="fr-FR" w:bidi="fr-FR"/>
        </w:rPr>
        <w:t>e</w:t>
      </w:r>
      <w:r w:rsidRPr="00C57F5E">
        <w:rPr>
          <w:lang w:eastAsia="fr-FR" w:bidi="fr-FR"/>
        </w:rPr>
        <w:t>vaient e</w:t>
      </w:r>
      <w:r w:rsidRPr="00C57F5E">
        <w:rPr>
          <w:lang w:eastAsia="fr-FR" w:bidi="fr-FR"/>
        </w:rPr>
        <w:t>n</w:t>
      </w:r>
      <w:r w:rsidRPr="00C57F5E">
        <w:rPr>
          <w:lang w:eastAsia="fr-FR" w:bidi="fr-FR"/>
        </w:rPr>
        <w:t>core que 14</w:t>
      </w:r>
      <w:r>
        <w:rPr>
          <w:lang w:eastAsia="fr-FR" w:bidi="fr-FR"/>
        </w:rPr>
        <w:t>%</w:t>
      </w:r>
      <w:r w:rsidRPr="00C57F5E">
        <w:rPr>
          <w:lang w:eastAsia="fr-FR" w:bidi="fr-FR"/>
        </w:rPr>
        <w:t xml:space="preserve"> </w:t>
      </w:r>
      <w:r w:rsidRPr="00BF69D7">
        <w:rPr>
          <w:i/>
        </w:rPr>
        <w:t>en moyenne du prix de vente</w:t>
      </w:r>
      <w:r w:rsidRPr="00C57F5E">
        <w:rPr>
          <w:lang w:eastAsia="fr-FR" w:bidi="fr-FR"/>
        </w:rPr>
        <w:t xml:space="preserve"> commercialisé sur le marché européen.</w:t>
      </w:r>
    </w:p>
    <w:p w14:paraId="3A00C36D" w14:textId="77777777" w:rsidR="00833514" w:rsidRPr="00C57F5E" w:rsidRDefault="00833514" w:rsidP="00833514">
      <w:pPr>
        <w:spacing w:before="120" w:after="120"/>
        <w:jc w:val="both"/>
      </w:pPr>
      <w:r w:rsidRPr="00C57F5E">
        <w:rPr>
          <w:lang w:eastAsia="fr-FR" w:bidi="fr-FR"/>
        </w:rPr>
        <w:t>Il faut bien voir que la situation sur le marché énergétique mondial avait changé. La production américaine ne répondait plus aux besoins intérieurs</w:t>
      </w:r>
      <w:r w:rsidRPr="00C57F5E">
        <w:t> ;</w:t>
      </w:r>
      <w:r w:rsidRPr="00C57F5E">
        <w:rPr>
          <w:lang w:eastAsia="fr-FR" w:bidi="fr-FR"/>
        </w:rPr>
        <w:t xml:space="preserve"> les États-Unis étaient devenus des importateurs nets de pétrole. Cette hausse internationale du prix du pétrole représentait donc une chance pour le capitalisme américain à la fois de </w:t>
      </w:r>
      <w:r w:rsidRPr="00BF69D7">
        <w:rPr>
          <w:i/>
        </w:rPr>
        <w:t>revaloriser</w:t>
      </w:r>
      <w:r w:rsidRPr="00C57F5E">
        <w:rPr>
          <w:lang w:eastAsia="fr-FR" w:bidi="fr-FR"/>
        </w:rPr>
        <w:t xml:space="preserve"> les réserves énergétiques sur son territoire</w:t>
      </w:r>
      <w:r>
        <w:t> </w:t>
      </w:r>
      <w:r>
        <w:rPr>
          <w:rStyle w:val="Appelnotedebasdep"/>
        </w:rPr>
        <w:footnoteReference w:id="9"/>
      </w:r>
      <w:r w:rsidRPr="00C57F5E">
        <w:rPr>
          <w:lang w:eastAsia="fr-FR" w:bidi="fr-FR"/>
        </w:rPr>
        <w:t xml:space="preserve"> et </w:t>
      </w:r>
      <w:r w:rsidRPr="00C57F5E">
        <w:t>d’</w:t>
      </w:r>
      <w:r w:rsidRPr="00BF69D7">
        <w:rPr>
          <w:i/>
        </w:rPr>
        <w:t>enlever l’avantage</w:t>
      </w:r>
      <w:r w:rsidRPr="00BF69D7">
        <w:rPr>
          <w:i/>
          <w:lang w:eastAsia="fr-FR" w:bidi="fr-FR"/>
        </w:rPr>
        <w:t xml:space="preserve"> </w:t>
      </w:r>
      <w:r w:rsidRPr="00C57F5E">
        <w:rPr>
          <w:lang w:eastAsia="fr-FR" w:bidi="fr-FR"/>
        </w:rPr>
        <w:t>que détenaient ses concurrents japonais et européens avec un pétrole i</w:t>
      </w:r>
      <w:r w:rsidRPr="00C57F5E">
        <w:rPr>
          <w:lang w:eastAsia="fr-FR" w:bidi="fr-FR"/>
        </w:rPr>
        <w:t>m</w:t>
      </w:r>
      <w:r w:rsidRPr="00C57F5E">
        <w:rPr>
          <w:lang w:eastAsia="fr-FR" w:bidi="fr-FR"/>
        </w:rPr>
        <w:t xml:space="preserve">porté de </w:t>
      </w:r>
      <w:r>
        <w:rPr>
          <w:lang w:eastAsia="fr-FR" w:bidi="fr-FR"/>
        </w:rPr>
        <w:t>$ </w:t>
      </w:r>
      <w:r w:rsidRPr="00C57F5E">
        <w:rPr>
          <w:lang w:eastAsia="fr-FR" w:bidi="fr-FR"/>
        </w:rPr>
        <w:t>1.00 moins cher (tableau</w:t>
      </w:r>
      <w:r>
        <w:rPr>
          <w:lang w:eastAsia="fr-FR" w:bidi="fr-FR"/>
        </w:rPr>
        <w:t> </w:t>
      </w:r>
      <w:r w:rsidRPr="00C57F5E">
        <w:rPr>
          <w:lang w:eastAsia="fr-FR" w:bidi="fr-FR"/>
        </w:rPr>
        <w:t>1).</w:t>
      </w:r>
    </w:p>
    <w:p w14:paraId="4A560C35" w14:textId="77777777" w:rsidR="00833514" w:rsidRDefault="00833514" w:rsidP="00833514">
      <w:pPr>
        <w:pStyle w:val="p"/>
      </w:pPr>
      <w:r w:rsidRPr="00C57F5E">
        <w:br w:type="page"/>
      </w:r>
      <w:r>
        <w:lastRenderedPageBreak/>
        <w:t>[107]</w:t>
      </w:r>
    </w:p>
    <w:p w14:paraId="621F1E66" w14:textId="77777777" w:rsidR="00833514" w:rsidRPr="00C57F5E" w:rsidRDefault="00833514" w:rsidP="00833514">
      <w:pPr>
        <w:spacing w:before="120" w:after="120"/>
        <w:jc w:val="both"/>
      </w:pPr>
    </w:p>
    <w:p w14:paraId="5EDE2464" w14:textId="77777777" w:rsidR="00833514" w:rsidRDefault="00833514" w:rsidP="00833514">
      <w:pPr>
        <w:pStyle w:val="figtitre"/>
      </w:pPr>
      <w:r w:rsidRPr="00BF69D7">
        <w:t>TABLEAU 1</w:t>
      </w:r>
    </w:p>
    <w:p w14:paraId="0B26FB67" w14:textId="77777777" w:rsidR="00833514" w:rsidRPr="00BF69D7" w:rsidRDefault="00833514" w:rsidP="00833514">
      <w:pPr>
        <w:pStyle w:val="figtitrest"/>
      </w:pPr>
      <w:r w:rsidRPr="00BF69D7">
        <w:t>États-Unis, Japon, Europe</w:t>
      </w:r>
    </w:p>
    <w:tbl>
      <w:tblPr>
        <w:tblOverlap w:val="never"/>
        <w:tblW w:w="0" w:type="auto"/>
        <w:tblLayout w:type="fixed"/>
        <w:tblCellMar>
          <w:left w:w="10" w:type="dxa"/>
          <w:right w:w="10" w:type="dxa"/>
        </w:tblCellMar>
        <w:tblLook w:val="0000" w:firstRow="0" w:lastRow="0" w:firstColumn="0" w:lastColumn="0" w:noHBand="0" w:noVBand="0"/>
      </w:tblPr>
      <w:tblGrid>
        <w:gridCol w:w="1159"/>
        <w:gridCol w:w="2257"/>
        <w:gridCol w:w="2257"/>
        <w:gridCol w:w="2257"/>
      </w:tblGrid>
      <w:tr w:rsidR="00833514" w:rsidRPr="00BF69D7" w14:paraId="52BDB921" w14:textId="77777777">
        <w:tblPrEx>
          <w:tblCellMar>
            <w:top w:w="0" w:type="dxa"/>
            <w:bottom w:w="0" w:type="dxa"/>
          </w:tblCellMar>
        </w:tblPrEx>
        <w:tc>
          <w:tcPr>
            <w:tcW w:w="1159" w:type="dxa"/>
            <w:tcBorders>
              <w:top w:val="single" w:sz="4" w:space="0" w:color="auto"/>
            </w:tcBorders>
            <w:shd w:val="clear" w:color="auto" w:fill="FFFFFF"/>
          </w:tcPr>
          <w:p w14:paraId="7187678C" w14:textId="77777777" w:rsidR="00833514" w:rsidRPr="00BF69D7" w:rsidRDefault="00833514" w:rsidP="00833514">
            <w:pPr>
              <w:spacing w:before="60" w:after="60"/>
              <w:ind w:firstLine="0"/>
              <w:jc w:val="center"/>
              <w:rPr>
                <w:sz w:val="24"/>
                <w:szCs w:val="10"/>
              </w:rPr>
            </w:pPr>
          </w:p>
        </w:tc>
        <w:tc>
          <w:tcPr>
            <w:tcW w:w="2257" w:type="dxa"/>
            <w:tcBorders>
              <w:top w:val="single" w:sz="4" w:space="0" w:color="auto"/>
            </w:tcBorders>
            <w:shd w:val="clear" w:color="auto" w:fill="EEECE1"/>
          </w:tcPr>
          <w:p w14:paraId="729C4A7C" w14:textId="77777777" w:rsidR="00833514" w:rsidRPr="00BF69D7" w:rsidRDefault="00833514" w:rsidP="00833514">
            <w:pPr>
              <w:spacing w:before="60" w:after="60"/>
              <w:ind w:firstLine="0"/>
              <w:jc w:val="center"/>
              <w:rPr>
                <w:sz w:val="24"/>
              </w:rPr>
            </w:pPr>
            <w:r w:rsidRPr="00BF69D7">
              <w:rPr>
                <w:sz w:val="24"/>
              </w:rPr>
              <w:t>1970</w:t>
            </w:r>
          </w:p>
        </w:tc>
        <w:tc>
          <w:tcPr>
            <w:tcW w:w="2257" w:type="dxa"/>
            <w:tcBorders>
              <w:top w:val="single" w:sz="4" w:space="0" w:color="auto"/>
            </w:tcBorders>
            <w:shd w:val="clear" w:color="auto" w:fill="EEECE1"/>
          </w:tcPr>
          <w:p w14:paraId="70E27526" w14:textId="77777777" w:rsidR="00833514" w:rsidRPr="00BF69D7" w:rsidRDefault="00833514" w:rsidP="00833514">
            <w:pPr>
              <w:spacing w:before="60" w:after="60"/>
              <w:ind w:firstLine="0"/>
              <w:jc w:val="center"/>
              <w:rPr>
                <w:sz w:val="24"/>
              </w:rPr>
            </w:pPr>
            <w:r w:rsidRPr="00BF69D7">
              <w:rPr>
                <w:sz w:val="24"/>
              </w:rPr>
              <w:t>1972</w:t>
            </w:r>
          </w:p>
        </w:tc>
        <w:tc>
          <w:tcPr>
            <w:tcW w:w="2257" w:type="dxa"/>
            <w:tcBorders>
              <w:top w:val="single" w:sz="4" w:space="0" w:color="auto"/>
            </w:tcBorders>
            <w:shd w:val="clear" w:color="auto" w:fill="EEECE1"/>
          </w:tcPr>
          <w:p w14:paraId="3AB5279E" w14:textId="77777777" w:rsidR="00833514" w:rsidRPr="00BF69D7" w:rsidRDefault="00833514" w:rsidP="00833514">
            <w:pPr>
              <w:spacing w:before="60" w:after="60"/>
              <w:ind w:firstLine="0"/>
              <w:jc w:val="center"/>
              <w:rPr>
                <w:sz w:val="24"/>
              </w:rPr>
            </w:pPr>
            <w:r w:rsidRPr="00BF69D7">
              <w:rPr>
                <w:sz w:val="24"/>
              </w:rPr>
              <w:t>1980</w:t>
            </w:r>
          </w:p>
        </w:tc>
      </w:tr>
      <w:tr w:rsidR="00833514" w:rsidRPr="00BF69D7" w14:paraId="6D14CEDE" w14:textId="77777777">
        <w:tblPrEx>
          <w:tblCellMar>
            <w:top w:w="0" w:type="dxa"/>
            <w:bottom w:w="0" w:type="dxa"/>
          </w:tblCellMar>
        </w:tblPrEx>
        <w:tc>
          <w:tcPr>
            <w:tcW w:w="1159" w:type="dxa"/>
            <w:tcBorders>
              <w:top w:val="single" w:sz="4" w:space="0" w:color="auto"/>
            </w:tcBorders>
            <w:shd w:val="clear" w:color="auto" w:fill="FFFFFF"/>
          </w:tcPr>
          <w:p w14:paraId="537413EF" w14:textId="77777777" w:rsidR="00833514" w:rsidRPr="00BF69D7" w:rsidRDefault="00833514" w:rsidP="00833514">
            <w:pPr>
              <w:spacing w:before="60" w:after="60"/>
              <w:ind w:firstLine="0"/>
              <w:jc w:val="center"/>
              <w:rPr>
                <w:sz w:val="24"/>
              </w:rPr>
            </w:pPr>
            <w:r w:rsidRPr="00BF69D7">
              <w:rPr>
                <w:sz w:val="24"/>
              </w:rPr>
              <w:t>États-Unis</w:t>
            </w:r>
          </w:p>
        </w:tc>
        <w:tc>
          <w:tcPr>
            <w:tcW w:w="2257" w:type="dxa"/>
            <w:tcBorders>
              <w:top w:val="single" w:sz="4" w:space="0" w:color="auto"/>
            </w:tcBorders>
            <w:shd w:val="clear" w:color="auto" w:fill="FFFFFF"/>
          </w:tcPr>
          <w:p w14:paraId="272D95B6" w14:textId="77777777" w:rsidR="00833514" w:rsidRPr="00BF69D7" w:rsidRDefault="00833514" w:rsidP="00833514">
            <w:pPr>
              <w:spacing w:before="60" w:after="60"/>
              <w:ind w:firstLine="0"/>
              <w:jc w:val="center"/>
              <w:rPr>
                <w:sz w:val="24"/>
              </w:rPr>
            </w:pPr>
            <w:r w:rsidRPr="00BF69D7">
              <w:rPr>
                <w:sz w:val="24"/>
              </w:rPr>
              <w:t>Brut nati</w:t>
            </w:r>
            <w:r w:rsidRPr="00BF69D7">
              <w:rPr>
                <w:sz w:val="24"/>
              </w:rPr>
              <w:t>o</w:t>
            </w:r>
            <w:r w:rsidRPr="00BF69D7">
              <w:rPr>
                <w:sz w:val="24"/>
              </w:rPr>
              <w:t>nal : 80%</w:t>
            </w:r>
          </w:p>
        </w:tc>
        <w:tc>
          <w:tcPr>
            <w:tcW w:w="2257" w:type="dxa"/>
            <w:tcBorders>
              <w:top w:val="single" w:sz="4" w:space="0" w:color="auto"/>
            </w:tcBorders>
            <w:shd w:val="clear" w:color="auto" w:fill="FFFFFF"/>
          </w:tcPr>
          <w:p w14:paraId="1AD53173" w14:textId="77777777" w:rsidR="00833514" w:rsidRPr="00BF69D7" w:rsidRDefault="00833514" w:rsidP="00833514">
            <w:pPr>
              <w:spacing w:before="60" w:after="60"/>
              <w:ind w:firstLine="0"/>
              <w:jc w:val="center"/>
              <w:rPr>
                <w:sz w:val="24"/>
              </w:rPr>
            </w:pPr>
            <w:r w:rsidRPr="00BF69D7">
              <w:rPr>
                <w:sz w:val="24"/>
              </w:rPr>
              <w:t>Brut nat. : 80%</w:t>
            </w:r>
          </w:p>
        </w:tc>
        <w:tc>
          <w:tcPr>
            <w:tcW w:w="2257" w:type="dxa"/>
            <w:tcBorders>
              <w:top w:val="single" w:sz="4" w:space="0" w:color="auto"/>
            </w:tcBorders>
            <w:shd w:val="clear" w:color="auto" w:fill="FFFFFF"/>
          </w:tcPr>
          <w:p w14:paraId="7FD6C371" w14:textId="77777777" w:rsidR="00833514" w:rsidRPr="00BF69D7" w:rsidRDefault="00833514" w:rsidP="00833514">
            <w:pPr>
              <w:spacing w:before="60" w:after="60"/>
              <w:ind w:firstLine="0"/>
              <w:jc w:val="center"/>
              <w:rPr>
                <w:sz w:val="24"/>
              </w:rPr>
            </w:pPr>
            <w:r w:rsidRPr="00BF69D7">
              <w:rPr>
                <w:sz w:val="24"/>
              </w:rPr>
              <w:t>Brut nat.</w:t>
            </w:r>
          </w:p>
        </w:tc>
      </w:tr>
      <w:tr w:rsidR="00833514" w:rsidRPr="00BF69D7" w14:paraId="72DB486F" w14:textId="77777777">
        <w:tblPrEx>
          <w:tblCellMar>
            <w:top w:w="0" w:type="dxa"/>
            <w:bottom w:w="0" w:type="dxa"/>
          </w:tblCellMar>
        </w:tblPrEx>
        <w:tc>
          <w:tcPr>
            <w:tcW w:w="1159" w:type="dxa"/>
            <w:shd w:val="clear" w:color="auto" w:fill="FFFFFF"/>
          </w:tcPr>
          <w:p w14:paraId="52510E90"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0AA88428"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7DE29DD6"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79CE1A7E" w14:textId="77777777" w:rsidR="00833514" w:rsidRPr="00BF69D7" w:rsidRDefault="00833514" w:rsidP="00833514">
            <w:pPr>
              <w:spacing w:before="60" w:after="60"/>
              <w:ind w:firstLine="0"/>
              <w:jc w:val="center"/>
              <w:rPr>
                <w:sz w:val="24"/>
              </w:rPr>
            </w:pPr>
            <w:r w:rsidRPr="00BF69D7">
              <w:rPr>
                <w:sz w:val="24"/>
              </w:rPr>
              <w:t>Old Cr</w:t>
            </w:r>
            <w:r w:rsidRPr="00BF69D7">
              <w:rPr>
                <w:sz w:val="24"/>
              </w:rPr>
              <w:t>u</w:t>
            </w:r>
            <w:r w:rsidRPr="00BF69D7">
              <w:rPr>
                <w:sz w:val="24"/>
              </w:rPr>
              <w:t>de : 45%</w:t>
            </w:r>
          </w:p>
        </w:tc>
      </w:tr>
      <w:tr w:rsidR="00833514" w:rsidRPr="00BF69D7" w14:paraId="4E69336E" w14:textId="77777777">
        <w:tblPrEx>
          <w:tblCellMar>
            <w:top w:w="0" w:type="dxa"/>
            <w:bottom w:w="0" w:type="dxa"/>
          </w:tblCellMar>
        </w:tblPrEx>
        <w:tc>
          <w:tcPr>
            <w:tcW w:w="1159" w:type="dxa"/>
            <w:shd w:val="clear" w:color="auto" w:fill="FFFFFF"/>
          </w:tcPr>
          <w:p w14:paraId="6176C37B"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24363AF3" w14:textId="77777777" w:rsidR="00833514" w:rsidRPr="00BF69D7" w:rsidRDefault="00833514" w:rsidP="00833514">
            <w:pPr>
              <w:spacing w:before="60" w:after="60"/>
              <w:ind w:firstLine="0"/>
              <w:jc w:val="center"/>
              <w:rPr>
                <w:sz w:val="24"/>
              </w:rPr>
            </w:pPr>
            <w:r w:rsidRPr="00BF69D7">
              <w:rPr>
                <w:sz w:val="24"/>
              </w:rPr>
              <w:t>$ 3,50/bbl</w:t>
            </w:r>
          </w:p>
        </w:tc>
        <w:tc>
          <w:tcPr>
            <w:tcW w:w="2257" w:type="dxa"/>
            <w:shd w:val="clear" w:color="auto" w:fill="FFFFFF"/>
          </w:tcPr>
          <w:p w14:paraId="4F803A05" w14:textId="77777777" w:rsidR="00833514" w:rsidRPr="00BF69D7" w:rsidRDefault="00833514" w:rsidP="00833514">
            <w:pPr>
              <w:spacing w:before="60" w:after="60"/>
              <w:ind w:firstLine="0"/>
              <w:jc w:val="center"/>
              <w:rPr>
                <w:sz w:val="24"/>
              </w:rPr>
            </w:pPr>
            <w:r w:rsidRPr="00BF69D7">
              <w:rPr>
                <w:sz w:val="24"/>
              </w:rPr>
              <w:t>$ 3,50</w:t>
            </w:r>
          </w:p>
        </w:tc>
        <w:tc>
          <w:tcPr>
            <w:tcW w:w="2257" w:type="dxa"/>
            <w:shd w:val="clear" w:color="auto" w:fill="FFFFFF"/>
          </w:tcPr>
          <w:p w14:paraId="053E9F12" w14:textId="77777777" w:rsidR="00833514" w:rsidRPr="00BF69D7" w:rsidRDefault="00833514" w:rsidP="00833514">
            <w:pPr>
              <w:spacing w:before="60" w:after="60"/>
              <w:ind w:firstLine="0"/>
              <w:jc w:val="center"/>
              <w:rPr>
                <w:sz w:val="24"/>
              </w:rPr>
            </w:pPr>
            <w:r w:rsidRPr="00BF69D7">
              <w:rPr>
                <w:sz w:val="24"/>
              </w:rPr>
              <w:t>$ 6,00</w:t>
            </w:r>
          </w:p>
        </w:tc>
      </w:tr>
      <w:tr w:rsidR="00833514" w:rsidRPr="00BF69D7" w14:paraId="631431B4" w14:textId="77777777">
        <w:tblPrEx>
          <w:tblCellMar>
            <w:top w:w="0" w:type="dxa"/>
            <w:bottom w:w="0" w:type="dxa"/>
          </w:tblCellMar>
        </w:tblPrEx>
        <w:tc>
          <w:tcPr>
            <w:tcW w:w="1159" w:type="dxa"/>
            <w:shd w:val="clear" w:color="auto" w:fill="FFFFFF"/>
          </w:tcPr>
          <w:p w14:paraId="34E6DE26"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17E533D2" w14:textId="77777777" w:rsidR="00833514" w:rsidRPr="00BF69D7" w:rsidRDefault="00833514" w:rsidP="00833514">
            <w:pPr>
              <w:spacing w:before="60" w:after="60"/>
              <w:ind w:firstLine="0"/>
              <w:jc w:val="center"/>
              <w:rPr>
                <w:sz w:val="24"/>
              </w:rPr>
            </w:pPr>
            <w:r w:rsidRPr="00BF69D7">
              <w:rPr>
                <w:sz w:val="24"/>
              </w:rPr>
              <w:t>Brut importé : 20</w:t>
            </w:r>
            <w:r>
              <w:rPr>
                <w:sz w:val="24"/>
              </w:rPr>
              <w:t>%</w:t>
            </w:r>
          </w:p>
        </w:tc>
        <w:tc>
          <w:tcPr>
            <w:tcW w:w="2257" w:type="dxa"/>
            <w:shd w:val="clear" w:color="auto" w:fill="FFFFFF"/>
          </w:tcPr>
          <w:p w14:paraId="4F01B4DD" w14:textId="77777777" w:rsidR="00833514" w:rsidRPr="00BF69D7" w:rsidRDefault="00833514" w:rsidP="00833514">
            <w:pPr>
              <w:spacing w:before="60" w:after="60"/>
              <w:ind w:firstLine="0"/>
              <w:jc w:val="center"/>
              <w:rPr>
                <w:sz w:val="24"/>
              </w:rPr>
            </w:pPr>
            <w:r w:rsidRPr="00BF69D7">
              <w:rPr>
                <w:sz w:val="24"/>
              </w:rPr>
              <w:t>Brut importé : 20</w:t>
            </w:r>
            <w:r>
              <w:rPr>
                <w:sz w:val="24"/>
              </w:rPr>
              <w:t>%</w:t>
            </w:r>
          </w:p>
        </w:tc>
        <w:tc>
          <w:tcPr>
            <w:tcW w:w="2257" w:type="dxa"/>
            <w:shd w:val="clear" w:color="auto" w:fill="FFFFFF"/>
          </w:tcPr>
          <w:p w14:paraId="0F845742" w14:textId="77777777" w:rsidR="00833514" w:rsidRPr="00BF69D7" w:rsidRDefault="00833514" w:rsidP="00833514">
            <w:pPr>
              <w:spacing w:before="60" w:after="60"/>
              <w:ind w:firstLine="0"/>
              <w:jc w:val="center"/>
              <w:rPr>
                <w:sz w:val="24"/>
              </w:rPr>
            </w:pPr>
            <w:r w:rsidRPr="00BF69D7">
              <w:rPr>
                <w:sz w:val="24"/>
              </w:rPr>
              <w:t>New Crude</w:t>
            </w:r>
            <w:r>
              <w:rPr>
                <w:sz w:val="24"/>
              </w:rPr>
              <w:t> :</w:t>
            </w:r>
            <w:r w:rsidRPr="00BF69D7">
              <w:rPr>
                <w:sz w:val="24"/>
              </w:rPr>
              <w:t xml:space="preserve"> 30%</w:t>
            </w:r>
          </w:p>
        </w:tc>
      </w:tr>
      <w:tr w:rsidR="00833514" w:rsidRPr="00BF69D7" w14:paraId="56F53D68" w14:textId="77777777">
        <w:tblPrEx>
          <w:tblCellMar>
            <w:top w:w="0" w:type="dxa"/>
            <w:bottom w:w="0" w:type="dxa"/>
          </w:tblCellMar>
        </w:tblPrEx>
        <w:tc>
          <w:tcPr>
            <w:tcW w:w="1159" w:type="dxa"/>
            <w:shd w:val="clear" w:color="auto" w:fill="FFFFFF"/>
          </w:tcPr>
          <w:p w14:paraId="18C39F1C"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23BBAB0C" w14:textId="77777777" w:rsidR="00833514" w:rsidRPr="00BF69D7" w:rsidRDefault="00833514" w:rsidP="00833514">
            <w:pPr>
              <w:spacing w:before="60" w:after="60"/>
              <w:ind w:firstLine="0"/>
              <w:jc w:val="center"/>
              <w:rPr>
                <w:sz w:val="24"/>
              </w:rPr>
            </w:pPr>
            <w:r w:rsidRPr="00BF69D7">
              <w:rPr>
                <w:sz w:val="24"/>
              </w:rPr>
              <w:t>$ 2,15</w:t>
            </w:r>
          </w:p>
        </w:tc>
        <w:tc>
          <w:tcPr>
            <w:tcW w:w="2257" w:type="dxa"/>
            <w:shd w:val="clear" w:color="auto" w:fill="FFFFFF"/>
          </w:tcPr>
          <w:p w14:paraId="719DB5D6" w14:textId="77777777" w:rsidR="00833514" w:rsidRPr="00BF69D7" w:rsidRDefault="00833514" w:rsidP="00833514">
            <w:pPr>
              <w:spacing w:before="60" w:after="60"/>
              <w:ind w:firstLine="0"/>
              <w:jc w:val="center"/>
              <w:rPr>
                <w:sz w:val="24"/>
              </w:rPr>
            </w:pPr>
            <w:r w:rsidRPr="00BF69D7">
              <w:rPr>
                <w:sz w:val="24"/>
              </w:rPr>
              <w:t>$ 3,50</w:t>
            </w:r>
          </w:p>
        </w:tc>
        <w:tc>
          <w:tcPr>
            <w:tcW w:w="2257" w:type="dxa"/>
            <w:shd w:val="clear" w:color="auto" w:fill="FFFFFF"/>
          </w:tcPr>
          <w:p w14:paraId="4A55C1B6" w14:textId="77777777" w:rsidR="00833514" w:rsidRPr="00BF69D7" w:rsidRDefault="00833514" w:rsidP="00833514">
            <w:pPr>
              <w:spacing w:before="60" w:after="60"/>
              <w:ind w:firstLine="0"/>
              <w:jc w:val="center"/>
              <w:rPr>
                <w:sz w:val="24"/>
              </w:rPr>
            </w:pPr>
            <w:r w:rsidRPr="00BF69D7">
              <w:rPr>
                <w:sz w:val="24"/>
              </w:rPr>
              <w:t>$ 12,00</w:t>
            </w:r>
          </w:p>
        </w:tc>
      </w:tr>
      <w:tr w:rsidR="00833514" w:rsidRPr="00BF69D7" w14:paraId="4D14E156" w14:textId="77777777">
        <w:tblPrEx>
          <w:tblCellMar>
            <w:top w:w="0" w:type="dxa"/>
            <w:bottom w:w="0" w:type="dxa"/>
          </w:tblCellMar>
        </w:tblPrEx>
        <w:tc>
          <w:tcPr>
            <w:tcW w:w="1159" w:type="dxa"/>
            <w:shd w:val="clear" w:color="auto" w:fill="FFFFFF"/>
          </w:tcPr>
          <w:p w14:paraId="194193E7" w14:textId="77777777" w:rsidR="00833514" w:rsidRPr="00BF69D7" w:rsidRDefault="00833514" w:rsidP="00833514">
            <w:pPr>
              <w:spacing w:before="60" w:after="60"/>
              <w:ind w:firstLine="0"/>
              <w:jc w:val="both"/>
              <w:rPr>
                <w:sz w:val="24"/>
                <w:szCs w:val="10"/>
              </w:rPr>
            </w:pPr>
          </w:p>
        </w:tc>
        <w:tc>
          <w:tcPr>
            <w:tcW w:w="2257" w:type="dxa"/>
            <w:shd w:val="clear" w:color="auto" w:fill="FFFFFF"/>
          </w:tcPr>
          <w:p w14:paraId="03D3C596"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6E4FB599" w14:textId="77777777" w:rsidR="00833514" w:rsidRPr="00BF69D7" w:rsidRDefault="00833514" w:rsidP="00833514">
            <w:pPr>
              <w:spacing w:before="60" w:after="60"/>
              <w:ind w:firstLine="0"/>
              <w:jc w:val="center"/>
              <w:rPr>
                <w:sz w:val="24"/>
                <w:szCs w:val="10"/>
              </w:rPr>
            </w:pPr>
          </w:p>
        </w:tc>
        <w:tc>
          <w:tcPr>
            <w:tcW w:w="2257" w:type="dxa"/>
            <w:shd w:val="clear" w:color="auto" w:fill="FFFFFF"/>
            <w:vAlign w:val="bottom"/>
          </w:tcPr>
          <w:p w14:paraId="02F6B1EF" w14:textId="77777777" w:rsidR="00833514" w:rsidRPr="00BF69D7" w:rsidRDefault="00833514" w:rsidP="00833514">
            <w:pPr>
              <w:spacing w:before="60" w:after="60"/>
              <w:ind w:firstLine="0"/>
              <w:jc w:val="center"/>
              <w:rPr>
                <w:sz w:val="24"/>
              </w:rPr>
            </w:pPr>
            <w:r w:rsidRPr="00BF69D7">
              <w:rPr>
                <w:sz w:val="24"/>
              </w:rPr>
              <w:t>Brut i</w:t>
            </w:r>
            <w:r w:rsidRPr="00BF69D7">
              <w:rPr>
                <w:sz w:val="24"/>
              </w:rPr>
              <w:t>m</w:t>
            </w:r>
            <w:r w:rsidRPr="00BF69D7">
              <w:rPr>
                <w:sz w:val="24"/>
              </w:rPr>
              <w:t>porté : 25%</w:t>
            </w:r>
          </w:p>
        </w:tc>
      </w:tr>
      <w:tr w:rsidR="00833514" w:rsidRPr="00BF69D7" w14:paraId="4CAC6184" w14:textId="77777777">
        <w:tblPrEx>
          <w:tblCellMar>
            <w:top w:w="0" w:type="dxa"/>
            <w:bottom w:w="0" w:type="dxa"/>
          </w:tblCellMar>
        </w:tblPrEx>
        <w:tc>
          <w:tcPr>
            <w:tcW w:w="1159" w:type="dxa"/>
            <w:shd w:val="clear" w:color="auto" w:fill="FFFFFF"/>
          </w:tcPr>
          <w:p w14:paraId="35156CF9" w14:textId="77777777" w:rsidR="00833514" w:rsidRPr="00BF69D7" w:rsidRDefault="00833514" w:rsidP="00833514">
            <w:pPr>
              <w:spacing w:before="60" w:after="60"/>
              <w:ind w:firstLine="0"/>
              <w:jc w:val="both"/>
              <w:rPr>
                <w:sz w:val="24"/>
                <w:szCs w:val="10"/>
              </w:rPr>
            </w:pPr>
          </w:p>
        </w:tc>
        <w:tc>
          <w:tcPr>
            <w:tcW w:w="2257" w:type="dxa"/>
            <w:shd w:val="clear" w:color="auto" w:fill="FFFFFF"/>
          </w:tcPr>
          <w:p w14:paraId="120256F0"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7ECDFDCA"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3F8E2EF6" w14:textId="77777777" w:rsidR="00833514" w:rsidRPr="00BF69D7" w:rsidRDefault="00833514" w:rsidP="00833514">
            <w:pPr>
              <w:spacing w:before="60" w:after="60"/>
              <w:ind w:firstLine="0"/>
              <w:jc w:val="center"/>
              <w:rPr>
                <w:sz w:val="24"/>
              </w:rPr>
            </w:pPr>
            <w:r w:rsidRPr="00BF69D7">
              <w:rPr>
                <w:sz w:val="24"/>
              </w:rPr>
              <w:t>$ 10,00</w:t>
            </w:r>
          </w:p>
        </w:tc>
      </w:tr>
      <w:tr w:rsidR="00833514" w:rsidRPr="00BF69D7" w14:paraId="09E535AB" w14:textId="77777777">
        <w:tblPrEx>
          <w:tblCellMar>
            <w:top w:w="0" w:type="dxa"/>
            <w:bottom w:w="0" w:type="dxa"/>
          </w:tblCellMar>
        </w:tblPrEx>
        <w:tc>
          <w:tcPr>
            <w:tcW w:w="1159" w:type="dxa"/>
            <w:shd w:val="clear" w:color="auto" w:fill="FFFFFF"/>
          </w:tcPr>
          <w:p w14:paraId="0C25F01B" w14:textId="77777777" w:rsidR="00833514" w:rsidRPr="00BF69D7" w:rsidRDefault="00833514" w:rsidP="00833514">
            <w:pPr>
              <w:spacing w:before="60" w:after="60"/>
              <w:ind w:firstLine="0"/>
              <w:jc w:val="both"/>
              <w:rPr>
                <w:sz w:val="24"/>
                <w:szCs w:val="10"/>
              </w:rPr>
            </w:pPr>
          </w:p>
        </w:tc>
        <w:tc>
          <w:tcPr>
            <w:tcW w:w="2257" w:type="dxa"/>
            <w:shd w:val="clear" w:color="auto" w:fill="FFFFFF"/>
          </w:tcPr>
          <w:p w14:paraId="2678E58C"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070AE602" w14:textId="77777777" w:rsidR="00833514" w:rsidRPr="00BF69D7" w:rsidRDefault="00833514" w:rsidP="00833514">
            <w:pPr>
              <w:spacing w:before="60" w:after="60"/>
              <w:ind w:firstLine="0"/>
              <w:jc w:val="center"/>
              <w:rPr>
                <w:sz w:val="24"/>
                <w:szCs w:val="10"/>
              </w:rPr>
            </w:pPr>
          </w:p>
        </w:tc>
        <w:tc>
          <w:tcPr>
            <w:tcW w:w="2257" w:type="dxa"/>
            <w:shd w:val="clear" w:color="auto" w:fill="FFFFFF"/>
            <w:vAlign w:val="bottom"/>
          </w:tcPr>
          <w:p w14:paraId="48268C67" w14:textId="77777777" w:rsidR="00833514" w:rsidRPr="00BF69D7" w:rsidRDefault="00833514" w:rsidP="00833514">
            <w:pPr>
              <w:spacing w:before="60" w:after="60"/>
              <w:ind w:firstLine="0"/>
              <w:jc w:val="center"/>
              <w:rPr>
                <w:sz w:val="24"/>
              </w:rPr>
            </w:pPr>
            <w:r w:rsidRPr="00BF69D7">
              <w:rPr>
                <w:sz w:val="24"/>
              </w:rPr>
              <w:t>Coût moyen :</w:t>
            </w:r>
          </w:p>
        </w:tc>
      </w:tr>
      <w:tr w:rsidR="00833514" w:rsidRPr="00BF69D7" w14:paraId="5233279E" w14:textId="77777777">
        <w:tblPrEx>
          <w:tblCellMar>
            <w:top w:w="0" w:type="dxa"/>
            <w:bottom w:w="0" w:type="dxa"/>
          </w:tblCellMar>
        </w:tblPrEx>
        <w:tc>
          <w:tcPr>
            <w:tcW w:w="1159" w:type="dxa"/>
            <w:shd w:val="clear" w:color="auto" w:fill="FFFFFF"/>
          </w:tcPr>
          <w:p w14:paraId="3948AA54" w14:textId="77777777" w:rsidR="00833514" w:rsidRPr="00BF69D7" w:rsidRDefault="00833514" w:rsidP="00833514">
            <w:pPr>
              <w:spacing w:before="60" w:after="60"/>
              <w:ind w:firstLine="0"/>
              <w:jc w:val="both"/>
              <w:rPr>
                <w:sz w:val="24"/>
                <w:szCs w:val="10"/>
              </w:rPr>
            </w:pPr>
          </w:p>
        </w:tc>
        <w:tc>
          <w:tcPr>
            <w:tcW w:w="2257" w:type="dxa"/>
            <w:shd w:val="clear" w:color="auto" w:fill="FFFFFF"/>
          </w:tcPr>
          <w:p w14:paraId="33BB1DC0" w14:textId="77777777" w:rsidR="00833514" w:rsidRPr="00BF69D7" w:rsidRDefault="00833514" w:rsidP="00833514">
            <w:pPr>
              <w:spacing w:before="60" w:after="60"/>
              <w:ind w:firstLine="0"/>
              <w:jc w:val="center"/>
              <w:rPr>
                <w:sz w:val="24"/>
                <w:szCs w:val="10"/>
              </w:rPr>
            </w:pPr>
          </w:p>
        </w:tc>
        <w:tc>
          <w:tcPr>
            <w:tcW w:w="2257" w:type="dxa"/>
            <w:shd w:val="clear" w:color="auto" w:fill="FFFFFF"/>
          </w:tcPr>
          <w:p w14:paraId="2C71224C" w14:textId="77777777" w:rsidR="00833514" w:rsidRPr="00BF69D7" w:rsidRDefault="00833514" w:rsidP="00833514">
            <w:pPr>
              <w:spacing w:before="60" w:after="60"/>
              <w:ind w:firstLine="0"/>
              <w:jc w:val="center"/>
              <w:rPr>
                <w:sz w:val="24"/>
                <w:szCs w:val="10"/>
              </w:rPr>
            </w:pPr>
          </w:p>
        </w:tc>
        <w:tc>
          <w:tcPr>
            <w:tcW w:w="2257" w:type="dxa"/>
            <w:shd w:val="clear" w:color="auto" w:fill="FFFFFF"/>
            <w:vAlign w:val="bottom"/>
          </w:tcPr>
          <w:p w14:paraId="0B3D8565" w14:textId="77777777" w:rsidR="00833514" w:rsidRPr="00BF69D7" w:rsidRDefault="00833514" w:rsidP="00833514">
            <w:pPr>
              <w:spacing w:before="60" w:after="60"/>
              <w:ind w:firstLine="0"/>
              <w:jc w:val="center"/>
              <w:rPr>
                <w:sz w:val="24"/>
              </w:rPr>
            </w:pPr>
            <w:r w:rsidRPr="00BF69D7">
              <w:rPr>
                <w:sz w:val="24"/>
              </w:rPr>
              <w:t>$ 8,80/bbl</w:t>
            </w:r>
          </w:p>
        </w:tc>
      </w:tr>
      <w:tr w:rsidR="00833514" w:rsidRPr="00BF69D7" w14:paraId="441A5D40" w14:textId="77777777">
        <w:tblPrEx>
          <w:tblCellMar>
            <w:top w:w="0" w:type="dxa"/>
            <w:bottom w:w="0" w:type="dxa"/>
          </w:tblCellMar>
        </w:tblPrEx>
        <w:tc>
          <w:tcPr>
            <w:tcW w:w="1159" w:type="dxa"/>
            <w:shd w:val="clear" w:color="auto" w:fill="FFFFFF"/>
            <w:vAlign w:val="bottom"/>
          </w:tcPr>
          <w:p w14:paraId="0F83AD85" w14:textId="77777777" w:rsidR="00833514" w:rsidRPr="00BF69D7" w:rsidRDefault="00833514" w:rsidP="00833514">
            <w:pPr>
              <w:spacing w:before="60" w:after="60"/>
              <w:ind w:firstLine="0"/>
              <w:jc w:val="both"/>
              <w:rPr>
                <w:sz w:val="24"/>
              </w:rPr>
            </w:pPr>
            <w:r w:rsidRPr="00BF69D7">
              <w:rPr>
                <w:sz w:val="24"/>
              </w:rPr>
              <w:t>Japon</w:t>
            </w:r>
          </w:p>
        </w:tc>
        <w:tc>
          <w:tcPr>
            <w:tcW w:w="2257" w:type="dxa"/>
            <w:shd w:val="clear" w:color="auto" w:fill="FFFFFF"/>
            <w:vAlign w:val="bottom"/>
          </w:tcPr>
          <w:p w14:paraId="49A487FB" w14:textId="77777777" w:rsidR="00833514" w:rsidRPr="00BF69D7" w:rsidRDefault="00833514" w:rsidP="00833514">
            <w:pPr>
              <w:spacing w:before="60" w:after="60"/>
              <w:ind w:firstLine="0"/>
              <w:jc w:val="center"/>
              <w:rPr>
                <w:sz w:val="24"/>
              </w:rPr>
            </w:pPr>
            <w:r w:rsidRPr="00BF69D7">
              <w:rPr>
                <w:sz w:val="24"/>
              </w:rPr>
              <w:t>Brut imp. : 100%</w:t>
            </w:r>
          </w:p>
        </w:tc>
        <w:tc>
          <w:tcPr>
            <w:tcW w:w="2257" w:type="dxa"/>
            <w:shd w:val="clear" w:color="auto" w:fill="FFFFFF"/>
            <w:vAlign w:val="bottom"/>
          </w:tcPr>
          <w:p w14:paraId="480178A8" w14:textId="77777777" w:rsidR="00833514" w:rsidRPr="00BF69D7" w:rsidRDefault="00833514" w:rsidP="00833514">
            <w:pPr>
              <w:spacing w:before="60" w:after="60"/>
              <w:ind w:firstLine="0"/>
              <w:jc w:val="center"/>
              <w:rPr>
                <w:sz w:val="24"/>
              </w:rPr>
            </w:pPr>
            <w:r w:rsidRPr="00BF69D7">
              <w:rPr>
                <w:sz w:val="24"/>
              </w:rPr>
              <w:t>Brut imp. : 100%</w:t>
            </w:r>
          </w:p>
        </w:tc>
        <w:tc>
          <w:tcPr>
            <w:tcW w:w="2257" w:type="dxa"/>
            <w:shd w:val="clear" w:color="auto" w:fill="FFFFFF"/>
            <w:vAlign w:val="bottom"/>
          </w:tcPr>
          <w:p w14:paraId="7B7EA204" w14:textId="77777777" w:rsidR="00833514" w:rsidRPr="00BF69D7" w:rsidRDefault="00833514" w:rsidP="00833514">
            <w:pPr>
              <w:spacing w:before="60" w:after="60"/>
              <w:ind w:firstLine="0"/>
              <w:jc w:val="center"/>
              <w:rPr>
                <w:sz w:val="24"/>
              </w:rPr>
            </w:pPr>
            <w:r w:rsidRPr="00BF69D7">
              <w:rPr>
                <w:sz w:val="24"/>
              </w:rPr>
              <w:t>Brut imp. : 100%</w:t>
            </w:r>
          </w:p>
        </w:tc>
      </w:tr>
      <w:tr w:rsidR="00833514" w:rsidRPr="00BF69D7" w14:paraId="0B884283" w14:textId="77777777">
        <w:tblPrEx>
          <w:tblCellMar>
            <w:top w:w="0" w:type="dxa"/>
            <w:bottom w:w="0" w:type="dxa"/>
          </w:tblCellMar>
        </w:tblPrEx>
        <w:tc>
          <w:tcPr>
            <w:tcW w:w="1159" w:type="dxa"/>
            <w:tcBorders>
              <w:bottom w:val="single" w:sz="8" w:space="0" w:color="auto"/>
            </w:tcBorders>
            <w:shd w:val="clear" w:color="auto" w:fill="FFFFFF"/>
          </w:tcPr>
          <w:p w14:paraId="42784C5F" w14:textId="77777777" w:rsidR="00833514" w:rsidRPr="00BF69D7" w:rsidRDefault="00833514" w:rsidP="00833514">
            <w:pPr>
              <w:spacing w:before="60" w:after="60"/>
              <w:ind w:firstLine="0"/>
              <w:jc w:val="both"/>
              <w:rPr>
                <w:sz w:val="24"/>
              </w:rPr>
            </w:pPr>
            <w:r w:rsidRPr="00BF69D7">
              <w:rPr>
                <w:sz w:val="24"/>
              </w:rPr>
              <w:t>Eur</w:t>
            </w:r>
            <w:r w:rsidRPr="00BF69D7">
              <w:rPr>
                <w:sz w:val="24"/>
              </w:rPr>
              <w:t>o</w:t>
            </w:r>
            <w:r w:rsidRPr="00BF69D7">
              <w:rPr>
                <w:sz w:val="24"/>
              </w:rPr>
              <w:t>pe</w:t>
            </w:r>
          </w:p>
        </w:tc>
        <w:tc>
          <w:tcPr>
            <w:tcW w:w="2257" w:type="dxa"/>
            <w:tcBorders>
              <w:bottom w:val="single" w:sz="8" w:space="0" w:color="auto"/>
            </w:tcBorders>
            <w:shd w:val="clear" w:color="auto" w:fill="FFFFFF"/>
          </w:tcPr>
          <w:p w14:paraId="1C16B679" w14:textId="77777777" w:rsidR="00833514" w:rsidRPr="00BF69D7" w:rsidRDefault="00833514" w:rsidP="00833514">
            <w:pPr>
              <w:spacing w:before="60" w:after="60"/>
              <w:ind w:firstLine="0"/>
              <w:jc w:val="center"/>
              <w:rPr>
                <w:sz w:val="24"/>
              </w:rPr>
            </w:pPr>
            <w:r w:rsidRPr="00BF69D7">
              <w:rPr>
                <w:sz w:val="24"/>
              </w:rPr>
              <w:t>$ 2,00/bbl</w:t>
            </w:r>
          </w:p>
        </w:tc>
        <w:tc>
          <w:tcPr>
            <w:tcW w:w="2257" w:type="dxa"/>
            <w:tcBorders>
              <w:bottom w:val="single" w:sz="8" w:space="0" w:color="auto"/>
            </w:tcBorders>
            <w:shd w:val="clear" w:color="auto" w:fill="FFFFFF"/>
          </w:tcPr>
          <w:p w14:paraId="2E631141" w14:textId="77777777" w:rsidR="00833514" w:rsidRPr="00BF69D7" w:rsidRDefault="00833514" w:rsidP="00833514">
            <w:pPr>
              <w:spacing w:before="60" w:after="60"/>
              <w:ind w:firstLine="0"/>
              <w:jc w:val="center"/>
              <w:rPr>
                <w:sz w:val="24"/>
              </w:rPr>
            </w:pPr>
            <w:r w:rsidRPr="00BF69D7">
              <w:rPr>
                <w:sz w:val="24"/>
              </w:rPr>
              <w:t>$ 3,50</w:t>
            </w:r>
          </w:p>
        </w:tc>
        <w:tc>
          <w:tcPr>
            <w:tcW w:w="2257" w:type="dxa"/>
            <w:tcBorders>
              <w:bottom w:val="single" w:sz="8" w:space="0" w:color="auto"/>
            </w:tcBorders>
            <w:shd w:val="clear" w:color="auto" w:fill="FFFFFF"/>
          </w:tcPr>
          <w:p w14:paraId="2999C787" w14:textId="77777777" w:rsidR="00833514" w:rsidRPr="00BF69D7" w:rsidRDefault="00833514" w:rsidP="00833514">
            <w:pPr>
              <w:spacing w:before="60" w:after="60"/>
              <w:ind w:firstLine="0"/>
              <w:jc w:val="center"/>
              <w:rPr>
                <w:sz w:val="24"/>
              </w:rPr>
            </w:pPr>
            <w:r w:rsidRPr="00BF69D7">
              <w:rPr>
                <w:sz w:val="24"/>
              </w:rPr>
              <w:t>$ 10,50</w:t>
            </w:r>
          </w:p>
        </w:tc>
      </w:tr>
    </w:tbl>
    <w:p w14:paraId="056C6579" w14:textId="77777777" w:rsidR="00833514" w:rsidRPr="00C57F5E" w:rsidRDefault="00833514" w:rsidP="00833514">
      <w:pPr>
        <w:spacing w:before="120" w:after="120"/>
        <w:jc w:val="both"/>
        <w:rPr>
          <w:szCs w:val="2"/>
        </w:rPr>
      </w:pPr>
      <w:r w:rsidRPr="00BF69D7">
        <w:rPr>
          <w:sz w:val="24"/>
        </w:rPr>
        <w:t xml:space="preserve">Source : J.M. Chevalier, Crise pétrolière, crise nucléaire, in </w:t>
      </w:r>
      <w:r w:rsidRPr="00BF69D7">
        <w:rPr>
          <w:rStyle w:val="Corpsdutexte29ptItalique"/>
          <w:sz w:val="24"/>
        </w:rPr>
        <w:t>Rupture d’un sy</w:t>
      </w:r>
      <w:r w:rsidRPr="00BF69D7">
        <w:rPr>
          <w:rStyle w:val="Corpsdutexte29ptItalique"/>
          <w:sz w:val="24"/>
        </w:rPr>
        <w:t>s</w:t>
      </w:r>
      <w:r w:rsidRPr="00BF69D7">
        <w:rPr>
          <w:rStyle w:val="Corpsdutexte29ptItalique"/>
          <w:sz w:val="24"/>
        </w:rPr>
        <w:t>tème</w:t>
      </w:r>
      <w:r>
        <w:rPr>
          <w:rStyle w:val="Corpsdutexte29ptItalique"/>
          <w:sz w:val="24"/>
        </w:rPr>
        <w:t xml:space="preserve"> </w:t>
      </w:r>
      <w:r w:rsidRPr="00BF69D7">
        <w:rPr>
          <w:rStyle w:val="Corpsdutexte29ptItalique"/>
          <w:sz w:val="24"/>
        </w:rPr>
        <w:t>économique,</w:t>
      </w:r>
      <w:r w:rsidRPr="00BF69D7">
        <w:rPr>
          <w:sz w:val="24"/>
        </w:rPr>
        <w:t xml:space="preserve"> Dunod, 1978.</w:t>
      </w:r>
    </w:p>
    <w:p w14:paraId="2A7D8A2E" w14:textId="77777777" w:rsidR="00833514" w:rsidRDefault="00833514" w:rsidP="00833514">
      <w:pPr>
        <w:spacing w:before="120" w:after="120"/>
        <w:jc w:val="both"/>
        <w:rPr>
          <w:szCs w:val="2"/>
        </w:rPr>
      </w:pPr>
    </w:p>
    <w:p w14:paraId="2D2ADB88" w14:textId="77777777" w:rsidR="00833514" w:rsidRPr="00C57F5E" w:rsidRDefault="00833514" w:rsidP="00833514">
      <w:pPr>
        <w:spacing w:before="120" w:after="120"/>
        <w:jc w:val="both"/>
        <w:rPr>
          <w:szCs w:val="2"/>
        </w:rPr>
      </w:pPr>
    </w:p>
    <w:p w14:paraId="6034BB8F" w14:textId="77777777" w:rsidR="00833514" w:rsidRPr="00C57F5E" w:rsidRDefault="00833514" w:rsidP="00833514">
      <w:pPr>
        <w:spacing w:before="120" w:after="120"/>
        <w:jc w:val="both"/>
      </w:pPr>
      <w:r w:rsidRPr="00C57F5E">
        <w:rPr>
          <w:lang w:eastAsia="fr-FR" w:bidi="fr-FR"/>
        </w:rPr>
        <w:t>Cette hausse permettait aux Sept Soeurs d’une part d’éliminer du marché intérieur un certain nombre de raffineries et de distributeurs i</w:t>
      </w:r>
      <w:r w:rsidRPr="00C57F5E">
        <w:rPr>
          <w:lang w:eastAsia="fr-FR" w:bidi="fr-FR"/>
        </w:rPr>
        <w:t>n</w:t>
      </w:r>
      <w:r w:rsidRPr="00C57F5E">
        <w:rPr>
          <w:lang w:eastAsia="fr-FR" w:bidi="fr-FR"/>
        </w:rPr>
        <w:t>dépendants et, d’autre part d’ac</w:t>
      </w:r>
      <w:r>
        <w:rPr>
          <w:lang w:eastAsia="fr-FR" w:bidi="fr-FR"/>
        </w:rPr>
        <w:t>croître leur marge bénéficiaire</w:t>
      </w:r>
      <w:r w:rsidRPr="00C57F5E">
        <w:rPr>
          <w:lang w:eastAsia="fr-FR" w:bidi="fr-FR"/>
        </w:rPr>
        <w:t>.</w:t>
      </w:r>
    </w:p>
    <w:p w14:paraId="620C3DE8" w14:textId="77777777" w:rsidR="00833514" w:rsidRPr="00C57F5E" w:rsidRDefault="00833514" w:rsidP="00833514">
      <w:pPr>
        <w:spacing w:before="120" w:after="120"/>
        <w:jc w:val="both"/>
      </w:pPr>
      <w:r w:rsidRPr="00C57F5E">
        <w:rPr>
          <w:lang w:eastAsia="fr-FR" w:bidi="fr-FR"/>
        </w:rPr>
        <w:t>Donc, si cette hausse constituait un pas important, elle demeurait insuffisante aussi bien pour les États pétroliers qui se devaient de r</w:t>
      </w:r>
      <w:r w:rsidRPr="00C57F5E">
        <w:rPr>
          <w:lang w:eastAsia="fr-FR" w:bidi="fr-FR"/>
        </w:rPr>
        <w:t>é</w:t>
      </w:r>
      <w:r w:rsidRPr="00C57F5E">
        <w:rPr>
          <w:lang w:eastAsia="fr-FR" w:bidi="fr-FR"/>
        </w:rPr>
        <w:t xml:space="preserve">cupérer davantage du surplus pétrolier que du point de vue de l’impérialisme américain qui se trouvait dans une </w:t>
      </w:r>
      <w:r w:rsidRPr="006253DC">
        <w:rPr>
          <w:i/>
          <w:lang w:eastAsia="fr-FR" w:bidi="fr-FR"/>
        </w:rPr>
        <w:t xml:space="preserve">position </w:t>
      </w:r>
      <w:r w:rsidRPr="006253DC">
        <w:rPr>
          <w:i/>
        </w:rPr>
        <w:t>équilibrée mais pr</w:t>
      </w:r>
      <w:r w:rsidRPr="006253DC">
        <w:rPr>
          <w:i/>
        </w:rPr>
        <w:t>é</w:t>
      </w:r>
      <w:r w:rsidRPr="006253DC">
        <w:rPr>
          <w:i/>
        </w:rPr>
        <w:t>caire</w:t>
      </w:r>
      <w:r w:rsidRPr="00C57F5E">
        <w:t>.</w:t>
      </w:r>
      <w:r w:rsidRPr="00C57F5E">
        <w:rPr>
          <w:lang w:eastAsia="fr-FR" w:bidi="fr-FR"/>
        </w:rPr>
        <w:t xml:space="preserve"> En effet, à </w:t>
      </w:r>
      <w:r>
        <w:rPr>
          <w:lang w:eastAsia="fr-FR" w:bidi="fr-FR"/>
        </w:rPr>
        <w:t>$ </w:t>
      </w:r>
      <w:r w:rsidRPr="00C57F5E">
        <w:rPr>
          <w:lang w:eastAsia="fr-FR" w:bidi="fr-FR"/>
        </w:rPr>
        <w:t>3.50 le baril, il était exclu de découvrir de nouveaux gisements sur le territo</w:t>
      </w:r>
      <w:r w:rsidRPr="00C57F5E">
        <w:rPr>
          <w:lang w:eastAsia="fr-FR" w:bidi="fr-FR"/>
        </w:rPr>
        <w:t>i</w:t>
      </w:r>
      <w:r w:rsidRPr="00C57F5E">
        <w:rPr>
          <w:lang w:eastAsia="fr-FR" w:bidi="fr-FR"/>
        </w:rPr>
        <w:t>re américain ou de développer de nouvelles sources d’énergie.</w:t>
      </w:r>
    </w:p>
    <w:p w14:paraId="0AAFC8C6" w14:textId="77777777" w:rsidR="00833514" w:rsidRDefault="00833514" w:rsidP="00833514">
      <w:pPr>
        <w:pStyle w:val="p"/>
      </w:pPr>
      <w:r w:rsidRPr="00C57F5E">
        <w:br w:type="page"/>
      </w:r>
      <w:r>
        <w:lastRenderedPageBreak/>
        <w:t>[108]</w:t>
      </w:r>
    </w:p>
    <w:p w14:paraId="14B5FF17" w14:textId="77777777" w:rsidR="00833514" w:rsidRDefault="00833514" w:rsidP="00833514">
      <w:pPr>
        <w:spacing w:before="120" w:after="120"/>
        <w:jc w:val="both"/>
      </w:pPr>
    </w:p>
    <w:p w14:paraId="2507E0CF" w14:textId="77777777" w:rsidR="00833514" w:rsidRDefault="00833514" w:rsidP="00833514">
      <w:pPr>
        <w:pStyle w:val="b"/>
      </w:pPr>
      <w:r>
        <w:t>1973 : le choc pétrolier</w:t>
      </w:r>
    </w:p>
    <w:p w14:paraId="3A483BAB" w14:textId="77777777" w:rsidR="00833514" w:rsidRDefault="00833514" w:rsidP="00833514">
      <w:pPr>
        <w:spacing w:before="120" w:after="120"/>
        <w:jc w:val="both"/>
      </w:pPr>
    </w:p>
    <w:p w14:paraId="0025DA21" w14:textId="77777777" w:rsidR="00833514" w:rsidRPr="00C57F5E" w:rsidRDefault="00833514" w:rsidP="00833514">
      <w:pPr>
        <w:spacing w:before="120" w:after="120"/>
        <w:jc w:val="both"/>
      </w:pPr>
      <w:r w:rsidRPr="00C57F5E">
        <w:rPr>
          <w:lang w:eastAsia="fr-FR" w:bidi="fr-FR"/>
        </w:rPr>
        <w:t>Aussi le 16 octobre 1973, peu de temps après la guerre du Kippour, les six ministres du pétrole des pays du Golfe persique déc</w:t>
      </w:r>
      <w:r w:rsidRPr="00C57F5E">
        <w:rPr>
          <w:lang w:eastAsia="fr-FR" w:bidi="fr-FR"/>
        </w:rPr>
        <w:t>i</w:t>
      </w:r>
      <w:r w:rsidRPr="00C57F5E">
        <w:rPr>
          <w:lang w:eastAsia="fr-FR" w:bidi="fr-FR"/>
        </w:rPr>
        <w:t>dent à Koweit que dorénavant le prix du pétrole sera fixé unilatéralement par les pays exportateurs. Par la même occasion, ils décident une augme</w:t>
      </w:r>
      <w:r w:rsidRPr="00C57F5E">
        <w:rPr>
          <w:lang w:eastAsia="fr-FR" w:bidi="fr-FR"/>
        </w:rPr>
        <w:t>n</w:t>
      </w:r>
      <w:r w:rsidRPr="00C57F5E">
        <w:rPr>
          <w:lang w:eastAsia="fr-FR" w:bidi="fr-FR"/>
        </w:rPr>
        <w:t>tation de 70</w:t>
      </w:r>
      <w:r>
        <w:rPr>
          <w:lang w:eastAsia="fr-FR" w:bidi="fr-FR"/>
        </w:rPr>
        <w:t>%</w:t>
      </w:r>
      <w:r w:rsidRPr="00C57F5E">
        <w:rPr>
          <w:lang w:eastAsia="fr-FR" w:bidi="fr-FR"/>
        </w:rPr>
        <w:t xml:space="preserve"> du prix du brut et on annonce qu’il sera doublé le 1er janvier pour atteindre </w:t>
      </w:r>
      <w:r>
        <w:rPr>
          <w:lang w:eastAsia="fr-FR" w:bidi="fr-FR"/>
        </w:rPr>
        <w:t>$ </w:t>
      </w:r>
      <w:r w:rsidRPr="00C57F5E">
        <w:rPr>
          <w:lang w:eastAsia="fr-FR" w:bidi="fr-FR"/>
        </w:rPr>
        <w:t xml:space="preserve">11.50 le baril alors qu’il n’était que de </w:t>
      </w:r>
      <w:r>
        <w:rPr>
          <w:lang w:eastAsia="fr-FR" w:bidi="fr-FR"/>
        </w:rPr>
        <w:t>$ </w:t>
      </w:r>
      <w:r w:rsidRPr="00C57F5E">
        <w:rPr>
          <w:lang w:eastAsia="fr-FR" w:bidi="fr-FR"/>
        </w:rPr>
        <w:t>3.50 à l’été 1973.</w:t>
      </w:r>
    </w:p>
    <w:p w14:paraId="472DD0A5" w14:textId="77777777" w:rsidR="00833514" w:rsidRPr="00C57F5E" w:rsidRDefault="00833514" w:rsidP="00833514">
      <w:pPr>
        <w:spacing w:before="120" w:after="120"/>
        <w:jc w:val="both"/>
      </w:pPr>
      <w:r w:rsidRPr="00C57F5E">
        <w:rPr>
          <w:lang w:eastAsia="fr-FR" w:bidi="fr-FR"/>
        </w:rPr>
        <w:t>Désormais, les États pétroliers perçoivent environ 40</w:t>
      </w:r>
      <w:r>
        <w:rPr>
          <w:lang w:eastAsia="fr-FR" w:bidi="fr-FR"/>
        </w:rPr>
        <w:t>%</w:t>
      </w:r>
      <w:r w:rsidRPr="00C57F5E">
        <w:rPr>
          <w:lang w:eastAsia="fr-FR" w:bidi="fr-FR"/>
        </w:rPr>
        <w:t xml:space="preserve"> de la valeur finale de leur produit et leur assure d’importants revenus, total</w:t>
      </w:r>
      <w:r w:rsidRPr="00C57F5E">
        <w:rPr>
          <w:lang w:eastAsia="fr-FR" w:bidi="fr-FR"/>
        </w:rPr>
        <w:t>i</w:t>
      </w:r>
      <w:r w:rsidRPr="00C57F5E">
        <w:rPr>
          <w:lang w:eastAsia="fr-FR" w:bidi="fr-FR"/>
        </w:rPr>
        <w:t>sant entre 110 et 130 milliards de dollars pour 1974.</w:t>
      </w:r>
    </w:p>
    <w:p w14:paraId="43AA2DAC" w14:textId="77777777" w:rsidR="00833514" w:rsidRPr="00C57F5E" w:rsidRDefault="00833514" w:rsidP="00833514">
      <w:pPr>
        <w:spacing w:before="120" w:after="120"/>
        <w:jc w:val="both"/>
      </w:pPr>
      <w:r w:rsidRPr="00C57F5E">
        <w:rPr>
          <w:lang w:eastAsia="fr-FR" w:bidi="fr-FR"/>
        </w:rPr>
        <w:t>Sur le coup, la hausse de 1973 parut très importante surtout que dans les mois suivants se déclencha la récession mondiale la plus i</w:t>
      </w:r>
      <w:r w:rsidRPr="00C57F5E">
        <w:rPr>
          <w:lang w:eastAsia="fr-FR" w:bidi="fr-FR"/>
        </w:rPr>
        <w:t>m</w:t>
      </w:r>
      <w:r w:rsidRPr="00C57F5E">
        <w:rPr>
          <w:lang w:eastAsia="fr-FR" w:bidi="fr-FR"/>
        </w:rPr>
        <w:t>po</w:t>
      </w:r>
      <w:r w:rsidRPr="00C57F5E">
        <w:rPr>
          <w:lang w:eastAsia="fr-FR" w:bidi="fr-FR"/>
        </w:rPr>
        <w:t>r</w:t>
      </w:r>
      <w:r w:rsidRPr="00C57F5E">
        <w:rPr>
          <w:lang w:eastAsia="fr-FR" w:bidi="fr-FR"/>
        </w:rPr>
        <w:t>tante de l’après-guerre. Les bourgeoisies des pays capitalistes avancés ont d’ailleurs voulu faire croire que la r</w:t>
      </w:r>
      <w:r w:rsidRPr="00C57F5E">
        <w:rPr>
          <w:lang w:eastAsia="fr-FR" w:bidi="fr-FR"/>
        </w:rPr>
        <w:t>é</w:t>
      </w:r>
      <w:r w:rsidRPr="00C57F5E">
        <w:rPr>
          <w:lang w:eastAsia="fr-FR" w:bidi="fr-FR"/>
        </w:rPr>
        <w:t xml:space="preserve">cession de 1974-75 avait été causée par cette hausse </w:t>
      </w:r>
      <w:r w:rsidRPr="00C57F5E">
        <w:t>« </w:t>
      </w:r>
      <w:r w:rsidRPr="00C57F5E">
        <w:rPr>
          <w:lang w:eastAsia="fr-FR" w:bidi="fr-FR"/>
        </w:rPr>
        <w:t>abusive et irresponsable</w:t>
      </w:r>
      <w:r w:rsidRPr="00C57F5E">
        <w:t> »</w:t>
      </w:r>
      <w:r w:rsidRPr="00C57F5E">
        <w:rPr>
          <w:lang w:eastAsia="fr-FR" w:bidi="fr-FR"/>
        </w:rPr>
        <w:t xml:space="preserve"> du prix du pétrole. Le raisonnement est si</w:t>
      </w:r>
      <w:r w:rsidRPr="00C57F5E">
        <w:rPr>
          <w:lang w:eastAsia="fr-FR" w:bidi="fr-FR"/>
        </w:rPr>
        <w:t>m</w:t>
      </w:r>
      <w:r w:rsidRPr="00C57F5E">
        <w:rPr>
          <w:lang w:eastAsia="fr-FR" w:bidi="fr-FR"/>
        </w:rPr>
        <w:t>ple</w:t>
      </w:r>
      <w:r w:rsidRPr="00C57F5E">
        <w:t> :</w:t>
      </w:r>
      <w:r w:rsidRPr="00C57F5E">
        <w:rPr>
          <w:lang w:eastAsia="fr-FR" w:bidi="fr-FR"/>
        </w:rPr>
        <w:t xml:space="preserve"> la hausse du prix de l’or noir a impliqué un transfert de revenus des pays industrialisés vers les pays de l’OPEP, provoquant une contraction de la demande et par ricochet de la pr</w:t>
      </w:r>
      <w:r w:rsidRPr="00C57F5E">
        <w:rPr>
          <w:lang w:eastAsia="fr-FR" w:bidi="fr-FR"/>
        </w:rPr>
        <w:t>o</w:t>
      </w:r>
      <w:r w:rsidRPr="00C57F5E">
        <w:rPr>
          <w:lang w:eastAsia="fr-FR" w:bidi="fr-FR"/>
        </w:rPr>
        <w:t>duction.</w:t>
      </w:r>
    </w:p>
    <w:p w14:paraId="72A6FEA4" w14:textId="77777777" w:rsidR="00833514" w:rsidRPr="00C57F5E" w:rsidRDefault="00833514" w:rsidP="00833514">
      <w:pPr>
        <w:spacing w:before="120" w:after="120"/>
        <w:jc w:val="both"/>
      </w:pPr>
      <w:r w:rsidRPr="00C57F5E">
        <w:rPr>
          <w:lang w:eastAsia="fr-FR" w:bidi="fr-FR"/>
        </w:rPr>
        <w:t xml:space="preserve">Sans refaire toute la démonstration, il est maintenant clair que </w:t>
      </w:r>
      <w:r w:rsidRPr="00C57F5E">
        <w:t>« </w:t>
      </w:r>
      <w:r w:rsidRPr="00C57F5E">
        <w:rPr>
          <w:lang w:eastAsia="fr-FR" w:bidi="fr-FR"/>
        </w:rPr>
        <w:t>le déroulement de la récession dans le secteur de l’équipement montre nettement l’antériorité de la chute de la production à la contraction des débouchés</w:t>
      </w:r>
      <w:r w:rsidRPr="00C57F5E">
        <w:t> »</w:t>
      </w:r>
      <w:r>
        <w:t> </w:t>
      </w:r>
      <w:r>
        <w:rPr>
          <w:rStyle w:val="Appelnotedebasdep"/>
        </w:rPr>
        <w:footnoteReference w:id="10"/>
      </w:r>
      <w:r w:rsidRPr="00C57F5E">
        <w:rPr>
          <w:lang w:eastAsia="fr-FR" w:bidi="fr-FR"/>
        </w:rPr>
        <w:t>. D’autre part, le marché international formant un tout, un transfert de revenu constitue encore au niveau mondial un pouvoir d’achat à moins qu’une fraction importante de ces revenus soit</w:t>
      </w:r>
      <w:r w:rsidRPr="00C57F5E">
        <w:t> »</w:t>
      </w:r>
      <w:r w:rsidRPr="00C57F5E">
        <w:rPr>
          <w:lang w:eastAsia="fr-FR" w:bidi="fr-FR"/>
        </w:rPr>
        <w:t>thésaurisée</w:t>
      </w:r>
      <w:r w:rsidRPr="00C57F5E">
        <w:t> »</w:t>
      </w:r>
      <w:r w:rsidRPr="00C57F5E">
        <w:rPr>
          <w:lang w:eastAsia="fr-FR" w:bidi="fr-FR"/>
        </w:rPr>
        <w:t xml:space="preserve">, non dépensée. C’est pourquoi on a fait tant de bruit autour du fameux (et fumeux) problème du </w:t>
      </w:r>
      <w:r w:rsidRPr="00C57F5E">
        <w:t>« </w:t>
      </w:r>
      <w:r w:rsidRPr="00C57F5E">
        <w:rPr>
          <w:lang w:eastAsia="fr-FR" w:bidi="fr-FR"/>
        </w:rPr>
        <w:t>recyclage des p</w:t>
      </w:r>
      <w:r w:rsidRPr="00C57F5E">
        <w:rPr>
          <w:lang w:eastAsia="fr-FR" w:bidi="fr-FR"/>
        </w:rPr>
        <w:t>é</w:t>
      </w:r>
      <w:r w:rsidRPr="00C57F5E">
        <w:rPr>
          <w:lang w:eastAsia="fr-FR" w:bidi="fr-FR"/>
        </w:rPr>
        <w:t>trodollars</w:t>
      </w:r>
      <w:r w:rsidRPr="00C57F5E">
        <w:t> »</w:t>
      </w:r>
      <w:r w:rsidRPr="00C57F5E">
        <w:rPr>
          <w:lang w:eastAsia="fr-FR" w:bidi="fr-FR"/>
        </w:rPr>
        <w:t>. Là encore, il a été démontré que d’une part ces exc</w:t>
      </w:r>
      <w:r w:rsidRPr="00C57F5E">
        <w:rPr>
          <w:lang w:eastAsia="fr-FR" w:bidi="fr-FR"/>
        </w:rPr>
        <w:t>é</w:t>
      </w:r>
      <w:r w:rsidRPr="00C57F5E">
        <w:rPr>
          <w:lang w:eastAsia="fr-FR" w:bidi="fr-FR"/>
        </w:rPr>
        <w:t xml:space="preserve">dents de revenus n’étaient pas aussi importants qu’on voulait le croire (tout </w:t>
      </w:r>
      <w:r w:rsidRPr="00C57F5E">
        <w:rPr>
          <w:lang w:eastAsia="fr-FR" w:bidi="fr-FR"/>
        </w:rPr>
        <w:lastRenderedPageBreak/>
        <w:t>au plus 1,5</w:t>
      </w:r>
      <w:r>
        <w:rPr>
          <w:lang w:eastAsia="fr-FR" w:bidi="fr-FR"/>
        </w:rPr>
        <w:t>%</w:t>
      </w:r>
      <w:r w:rsidRPr="00C57F5E">
        <w:rPr>
          <w:lang w:eastAsia="fr-FR" w:bidi="fr-FR"/>
        </w:rPr>
        <w:t xml:space="preserve"> du PNB des pays occidentaux) et que d’autre part la m</w:t>
      </w:r>
      <w:r w:rsidRPr="00C57F5E">
        <w:rPr>
          <w:lang w:eastAsia="fr-FR" w:bidi="fr-FR"/>
        </w:rPr>
        <w:t>a</w:t>
      </w:r>
      <w:r w:rsidRPr="00C57F5E">
        <w:rPr>
          <w:lang w:eastAsia="fr-FR" w:bidi="fr-FR"/>
        </w:rPr>
        <w:t>jeure partie de ces excédents était retournée dans les pays capitali</w:t>
      </w:r>
      <w:r w:rsidRPr="00C57F5E">
        <w:rPr>
          <w:lang w:eastAsia="fr-FR" w:bidi="fr-FR"/>
        </w:rPr>
        <w:t>s</w:t>
      </w:r>
      <w:r w:rsidRPr="00C57F5E">
        <w:rPr>
          <w:lang w:eastAsia="fr-FR" w:bidi="fr-FR"/>
        </w:rPr>
        <w:t>tes avancés par le jeu de la domination que ceux-ci exercent sur le ci</w:t>
      </w:r>
      <w:r w:rsidRPr="00C57F5E">
        <w:rPr>
          <w:lang w:eastAsia="fr-FR" w:bidi="fr-FR"/>
        </w:rPr>
        <w:t>r</w:t>
      </w:r>
      <w:r w:rsidRPr="00C57F5E">
        <w:rPr>
          <w:lang w:eastAsia="fr-FR" w:bidi="fr-FR"/>
        </w:rPr>
        <w:t>cuit financier international (fig.</w:t>
      </w:r>
      <w:r>
        <w:rPr>
          <w:lang w:eastAsia="fr-FR" w:bidi="fr-FR"/>
        </w:rPr>
        <w:t> </w:t>
      </w:r>
      <w:r w:rsidRPr="00C57F5E">
        <w:rPr>
          <w:lang w:eastAsia="fr-FR" w:bidi="fr-FR"/>
        </w:rPr>
        <w:t>3).</w:t>
      </w:r>
    </w:p>
    <w:p w14:paraId="0B83CDA5" w14:textId="77777777" w:rsidR="00833514" w:rsidRDefault="00833514" w:rsidP="00833514">
      <w:pPr>
        <w:spacing w:before="120" w:after="120"/>
        <w:jc w:val="both"/>
      </w:pPr>
      <w:r>
        <w:t>[109]</w:t>
      </w:r>
    </w:p>
    <w:p w14:paraId="5A74F45A" w14:textId="77777777" w:rsidR="00833514" w:rsidRDefault="00833514" w:rsidP="00833514">
      <w:pPr>
        <w:spacing w:before="120" w:after="120"/>
        <w:jc w:val="both"/>
      </w:pPr>
    </w:p>
    <w:p w14:paraId="53CF107D" w14:textId="77777777" w:rsidR="00833514" w:rsidRPr="00C57F5E" w:rsidRDefault="00833514" w:rsidP="00833514">
      <w:pPr>
        <w:pStyle w:val="figtitre"/>
      </w:pPr>
      <w:r>
        <w:t>Figure 3</w:t>
      </w:r>
    </w:p>
    <w:p w14:paraId="49B8658C" w14:textId="77777777" w:rsidR="00833514" w:rsidRPr="00C57F5E" w:rsidRDefault="00833514" w:rsidP="00833514">
      <w:pPr>
        <w:pStyle w:val="figtitrest"/>
      </w:pPr>
      <w:r w:rsidRPr="00C57F5E">
        <w:t>Comment les membres de l’OPEP ont utilisé</w:t>
      </w:r>
      <w:r w:rsidRPr="00C57F5E">
        <w:br/>
        <w:t>leurs pétrodollars</w:t>
      </w:r>
    </w:p>
    <w:p w14:paraId="421C9968" w14:textId="77777777" w:rsidR="00833514" w:rsidRPr="00C57F5E" w:rsidRDefault="000968E2" w:rsidP="00833514">
      <w:pPr>
        <w:pStyle w:val="fig"/>
        <w:rPr>
          <w:szCs w:val="2"/>
        </w:rPr>
      </w:pPr>
      <w:r w:rsidRPr="00F015EB">
        <w:rPr>
          <w:noProof/>
          <w:szCs w:val="2"/>
        </w:rPr>
        <w:drawing>
          <wp:inline distT="0" distB="0" distL="0" distR="0" wp14:anchorId="15AC6B26" wp14:editId="1297573E">
            <wp:extent cx="4978400" cy="3187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8400" cy="3187700"/>
                    </a:xfrm>
                    <a:prstGeom prst="rect">
                      <a:avLst/>
                    </a:prstGeom>
                    <a:noFill/>
                    <a:ln>
                      <a:noFill/>
                    </a:ln>
                  </pic:spPr>
                </pic:pic>
              </a:graphicData>
            </a:graphic>
          </wp:inline>
        </w:drawing>
      </w:r>
    </w:p>
    <w:p w14:paraId="5E35F3AF" w14:textId="77777777" w:rsidR="00833514" w:rsidRPr="00C57F5E" w:rsidRDefault="00833514" w:rsidP="00833514">
      <w:pPr>
        <w:spacing w:before="120" w:after="120"/>
        <w:jc w:val="both"/>
        <w:rPr>
          <w:szCs w:val="2"/>
        </w:rPr>
      </w:pPr>
    </w:p>
    <w:p w14:paraId="56D276A9" w14:textId="77777777" w:rsidR="00833514" w:rsidRPr="00C57F5E" w:rsidRDefault="00833514" w:rsidP="00833514">
      <w:pPr>
        <w:spacing w:before="120" w:after="120"/>
        <w:jc w:val="both"/>
      </w:pPr>
      <w:r w:rsidRPr="00C57F5E">
        <w:rPr>
          <w:lang w:eastAsia="fr-FR" w:bidi="fr-FR"/>
        </w:rPr>
        <w:t>Dans les faits, l’augmentation du prix de pétrole n’a fait qu’exacerber les tendances déjà présentes dans le système pr</w:t>
      </w:r>
      <w:r w:rsidRPr="00C57F5E">
        <w:rPr>
          <w:lang w:eastAsia="fr-FR" w:bidi="fr-FR"/>
        </w:rPr>
        <w:t>o</w:t>
      </w:r>
      <w:r w:rsidRPr="00C57F5E">
        <w:rPr>
          <w:lang w:eastAsia="fr-FR" w:bidi="fr-FR"/>
        </w:rPr>
        <w:t>ductif mondial, v</w:t>
      </w:r>
      <w:r w:rsidRPr="00C57F5E">
        <w:rPr>
          <w:lang w:eastAsia="fr-FR" w:bidi="fr-FR"/>
        </w:rPr>
        <w:t>i</w:t>
      </w:r>
      <w:r w:rsidRPr="00C57F5E">
        <w:rPr>
          <w:lang w:eastAsia="fr-FR" w:bidi="fr-FR"/>
        </w:rPr>
        <w:t xml:space="preserve">sibles par la polarisation des déficits et des excédents des balances des paiements des pays capitalistes avancés. Finalement, très rapidement l’inflation provoqua une baisse du prix réel du pétrole à </w:t>
      </w:r>
      <w:r>
        <w:rPr>
          <w:lang w:eastAsia="fr-FR" w:bidi="fr-FR"/>
        </w:rPr>
        <w:t>$ </w:t>
      </w:r>
      <w:r w:rsidRPr="00C57F5E">
        <w:rPr>
          <w:lang w:eastAsia="fr-FR" w:bidi="fr-FR"/>
        </w:rPr>
        <w:t xml:space="preserve">9.00 alors que le prix affiché nominal demeurait toujours à </w:t>
      </w:r>
      <w:r>
        <w:rPr>
          <w:lang w:eastAsia="fr-FR" w:bidi="fr-FR"/>
        </w:rPr>
        <w:t>$ </w:t>
      </w:r>
      <w:r w:rsidRPr="00C57F5E">
        <w:rPr>
          <w:lang w:eastAsia="fr-FR" w:bidi="fr-FR"/>
        </w:rPr>
        <w:t>11,50 le baril (fig.</w:t>
      </w:r>
      <w:r>
        <w:rPr>
          <w:lang w:eastAsia="fr-FR" w:bidi="fr-FR"/>
        </w:rPr>
        <w:t> </w:t>
      </w:r>
      <w:r w:rsidRPr="00C57F5E">
        <w:rPr>
          <w:lang w:eastAsia="fr-FR" w:bidi="fr-FR"/>
        </w:rPr>
        <w:t>4).</w:t>
      </w:r>
    </w:p>
    <w:p w14:paraId="631F156C" w14:textId="77777777" w:rsidR="00833514" w:rsidRDefault="00833514" w:rsidP="00833514">
      <w:pPr>
        <w:pStyle w:val="p"/>
      </w:pPr>
      <w:r w:rsidRPr="00C57F5E">
        <w:br w:type="page"/>
      </w:r>
      <w:r>
        <w:lastRenderedPageBreak/>
        <w:t>[110]</w:t>
      </w:r>
    </w:p>
    <w:p w14:paraId="3A85BCE2" w14:textId="77777777" w:rsidR="00833514" w:rsidRDefault="00833514" w:rsidP="00833514">
      <w:pPr>
        <w:pStyle w:val="figtitre"/>
      </w:pPr>
      <w:r>
        <w:t>Figure 4</w:t>
      </w:r>
    </w:p>
    <w:p w14:paraId="37ABEC1D" w14:textId="77777777" w:rsidR="00833514" w:rsidRPr="00C57F5E" w:rsidRDefault="00833514" w:rsidP="00833514">
      <w:pPr>
        <w:pStyle w:val="figtitrest"/>
      </w:pPr>
      <w:r>
        <w:t>Prix moyen OPEP</w:t>
      </w:r>
      <w:r>
        <w:br/>
        <w:t>(En $ US le baril)</w:t>
      </w:r>
    </w:p>
    <w:p w14:paraId="598DEF59" w14:textId="77777777" w:rsidR="00833514" w:rsidRDefault="000968E2" w:rsidP="00833514">
      <w:pPr>
        <w:pStyle w:val="fig"/>
      </w:pPr>
      <w:r>
        <w:rPr>
          <w:noProof/>
        </w:rPr>
        <w:drawing>
          <wp:inline distT="0" distB="0" distL="0" distR="0" wp14:anchorId="52FA8F1C" wp14:editId="7150F7BD">
            <wp:extent cx="5067300" cy="25781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7300" cy="2578100"/>
                    </a:xfrm>
                    <a:prstGeom prst="rect">
                      <a:avLst/>
                    </a:prstGeom>
                    <a:noFill/>
                    <a:ln>
                      <a:noFill/>
                    </a:ln>
                  </pic:spPr>
                </pic:pic>
              </a:graphicData>
            </a:graphic>
          </wp:inline>
        </w:drawing>
      </w:r>
    </w:p>
    <w:p w14:paraId="352408DE" w14:textId="77777777" w:rsidR="00833514" w:rsidRPr="006253DC" w:rsidRDefault="00833514" w:rsidP="00833514">
      <w:pPr>
        <w:pStyle w:val="figtitrest1"/>
      </w:pPr>
      <w:r w:rsidRPr="00174B2F">
        <w:t>Source</w:t>
      </w:r>
      <w:r w:rsidRPr="00174B2F">
        <w:rPr>
          <w:iCs/>
        </w:rPr>
        <w:t> :</w:t>
      </w:r>
      <w:r w:rsidRPr="00174B2F">
        <w:t xml:space="preserve"> </w:t>
      </w:r>
      <w:r w:rsidRPr="006253DC">
        <w:t>Revue des Affaires, Banque de Montréal, ja</w:t>
      </w:r>
      <w:r w:rsidRPr="006253DC">
        <w:t>n</w:t>
      </w:r>
      <w:r w:rsidRPr="006253DC">
        <w:t>vier 1980.</w:t>
      </w:r>
    </w:p>
    <w:p w14:paraId="4274F6D4" w14:textId="77777777" w:rsidR="00833514" w:rsidRDefault="00833514" w:rsidP="00833514">
      <w:pPr>
        <w:spacing w:before="120" w:after="120"/>
        <w:jc w:val="both"/>
      </w:pPr>
    </w:p>
    <w:p w14:paraId="1C2DF61D" w14:textId="77777777" w:rsidR="00833514" w:rsidRPr="00C57F5E" w:rsidRDefault="00833514" w:rsidP="00833514">
      <w:pPr>
        <w:spacing w:before="120" w:after="120"/>
        <w:jc w:val="both"/>
      </w:pPr>
      <w:r w:rsidRPr="00C57F5E">
        <w:rPr>
          <w:lang w:eastAsia="fr-FR" w:bidi="fr-FR"/>
        </w:rPr>
        <w:t>Avec un tel prix réel, les États-Unis pouvaient continuer leur tent</w:t>
      </w:r>
      <w:r w:rsidRPr="00C57F5E">
        <w:rPr>
          <w:lang w:eastAsia="fr-FR" w:bidi="fr-FR"/>
        </w:rPr>
        <w:t>a</w:t>
      </w:r>
      <w:r w:rsidRPr="00C57F5E">
        <w:rPr>
          <w:lang w:eastAsia="fr-FR" w:bidi="fr-FR"/>
        </w:rPr>
        <w:t>tive visant à retourner graduellement à l’autonomie énergétique et ce, sans trop pénaliser les pays industrialisés consommateurs de pétrole alors en sérieuse di</w:t>
      </w:r>
      <w:r w:rsidRPr="00C57F5E">
        <w:rPr>
          <w:lang w:eastAsia="fr-FR" w:bidi="fr-FR"/>
        </w:rPr>
        <w:t>f</w:t>
      </w:r>
      <w:r w:rsidRPr="00C57F5E">
        <w:rPr>
          <w:lang w:eastAsia="fr-FR" w:bidi="fr-FR"/>
        </w:rPr>
        <w:t>ficulté. À court terme, il s’agissait d’une situation favorable pour le capitalisme américain. D</w:t>
      </w:r>
      <w:r w:rsidRPr="00C57F5E">
        <w:rPr>
          <w:lang w:eastAsia="fr-FR" w:bidi="fr-FR"/>
        </w:rPr>
        <w:t>é</w:t>
      </w:r>
      <w:r w:rsidRPr="00C57F5E">
        <w:rPr>
          <w:lang w:eastAsia="fr-FR" w:bidi="fr-FR"/>
        </w:rPr>
        <w:t xml:space="preserve">sormais, son pétrole lui coûtait en moyenne </w:t>
      </w:r>
      <w:r>
        <w:rPr>
          <w:lang w:eastAsia="fr-FR" w:bidi="fr-FR"/>
        </w:rPr>
        <w:t>$ </w:t>
      </w:r>
      <w:r w:rsidRPr="00C57F5E">
        <w:rPr>
          <w:lang w:eastAsia="fr-FR" w:bidi="fr-FR"/>
        </w:rPr>
        <w:t xml:space="preserve">8.80 le baril contre </w:t>
      </w:r>
      <w:r>
        <w:rPr>
          <w:lang w:eastAsia="fr-FR" w:bidi="fr-FR"/>
        </w:rPr>
        <w:t>$ </w:t>
      </w:r>
      <w:r w:rsidRPr="00C57F5E">
        <w:rPr>
          <w:lang w:eastAsia="fr-FR" w:bidi="fr-FR"/>
        </w:rPr>
        <w:t>10.50 pour ses principaux concurrents (tableau</w:t>
      </w:r>
      <w:r>
        <w:rPr>
          <w:lang w:eastAsia="fr-FR" w:bidi="fr-FR"/>
        </w:rPr>
        <w:t> </w:t>
      </w:r>
      <w:r w:rsidRPr="00C57F5E">
        <w:rPr>
          <w:lang w:eastAsia="fr-FR" w:bidi="fr-FR"/>
        </w:rPr>
        <w:t>1). Maintenant de nouveaux gisements ou de nouvelles méthodes de récupération sur de gisements anciens perme</w:t>
      </w:r>
      <w:r w:rsidRPr="00C57F5E">
        <w:rPr>
          <w:lang w:eastAsia="fr-FR" w:bidi="fr-FR"/>
        </w:rPr>
        <w:t>t</w:t>
      </w:r>
      <w:r w:rsidRPr="00C57F5E">
        <w:rPr>
          <w:lang w:eastAsia="fr-FR" w:bidi="fr-FR"/>
        </w:rPr>
        <w:t>taient un nouvel apport de pétrole à prix libre (New Crude) tout en gardant bloqué le prix du pétrole des gisements en exploit</w:t>
      </w:r>
      <w:r w:rsidRPr="00C57F5E">
        <w:rPr>
          <w:lang w:eastAsia="fr-FR" w:bidi="fr-FR"/>
        </w:rPr>
        <w:t>a</w:t>
      </w:r>
      <w:r w:rsidRPr="00C57F5E">
        <w:rPr>
          <w:lang w:eastAsia="fr-FR" w:bidi="fr-FR"/>
        </w:rPr>
        <w:t xml:space="preserve">tion avant 1973 (Old Crude). Mais il ne faudrait pas surestimer, comme certains marxistes l’on fait, l’efficacité de </w:t>
      </w:r>
      <w:r w:rsidRPr="00C57F5E">
        <w:t>« </w:t>
      </w:r>
      <w:r w:rsidRPr="00C57F5E">
        <w:rPr>
          <w:lang w:eastAsia="fr-FR" w:bidi="fr-FR"/>
        </w:rPr>
        <w:t>l’arme du pétrole</w:t>
      </w:r>
      <w:r w:rsidRPr="00C57F5E">
        <w:t> »</w:t>
      </w:r>
      <w:r w:rsidRPr="00C57F5E">
        <w:rPr>
          <w:lang w:eastAsia="fr-FR" w:bidi="fr-FR"/>
        </w:rPr>
        <w:t xml:space="preserve"> pour l’impérialisme américain, À ce niveau, la modification du rapport s</w:t>
      </w:r>
      <w:r w:rsidRPr="00C57F5E">
        <w:rPr>
          <w:lang w:eastAsia="fr-FR" w:bidi="fr-FR"/>
        </w:rPr>
        <w:t>a</w:t>
      </w:r>
      <w:r w:rsidRPr="00C57F5E">
        <w:rPr>
          <w:lang w:eastAsia="fr-FR" w:bidi="fr-FR"/>
        </w:rPr>
        <w:t>larial et l’amélioration de la productivité sont des instruments bea</w:t>
      </w:r>
      <w:r w:rsidRPr="00C57F5E">
        <w:rPr>
          <w:lang w:eastAsia="fr-FR" w:bidi="fr-FR"/>
        </w:rPr>
        <w:t>u</w:t>
      </w:r>
      <w:r w:rsidRPr="00C57F5E">
        <w:rPr>
          <w:lang w:eastAsia="fr-FR" w:bidi="fr-FR"/>
        </w:rPr>
        <w:t>coup plus utiles.</w:t>
      </w:r>
    </w:p>
    <w:p w14:paraId="2A477ADF" w14:textId="77777777" w:rsidR="00833514" w:rsidRPr="00C57F5E" w:rsidRDefault="00833514" w:rsidP="00833514">
      <w:pPr>
        <w:spacing w:before="120" w:after="120"/>
        <w:jc w:val="both"/>
      </w:pPr>
      <w:r w:rsidRPr="00C57F5E">
        <w:rPr>
          <w:lang w:eastAsia="fr-FR" w:bidi="fr-FR"/>
        </w:rPr>
        <w:t>Mais il ne faudrait pas sous-estimer les problèmes que pose à moyen terme pour l’impérialisme américain cette hausse du prix du pétrole. Ainsi dès 1976, (tableau</w:t>
      </w:r>
      <w:r>
        <w:rPr>
          <w:lang w:eastAsia="fr-FR" w:bidi="fr-FR"/>
        </w:rPr>
        <w:t> </w:t>
      </w:r>
      <w:r w:rsidRPr="00C57F5E">
        <w:rPr>
          <w:lang w:eastAsia="fr-FR" w:bidi="fr-FR"/>
        </w:rPr>
        <w:t xml:space="preserve">2), </w:t>
      </w:r>
      <w:r w:rsidRPr="00C57F5E">
        <w:t>« </w:t>
      </w:r>
      <w:r w:rsidRPr="00C57F5E">
        <w:rPr>
          <w:lang w:eastAsia="fr-FR" w:bidi="fr-FR"/>
        </w:rPr>
        <w:t>la polarisation des déficits r</w:t>
      </w:r>
      <w:r w:rsidRPr="00C57F5E">
        <w:rPr>
          <w:lang w:eastAsia="fr-FR" w:bidi="fr-FR"/>
        </w:rPr>
        <w:t>e</w:t>
      </w:r>
      <w:r w:rsidRPr="00C57F5E">
        <w:rPr>
          <w:lang w:eastAsia="fr-FR" w:bidi="fr-FR"/>
        </w:rPr>
        <w:lastRenderedPageBreak/>
        <w:t>trouve la configuration qu’elle avait en 1973</w:t>
      </w:r>
      <w:r w:rsidRPr="00C57F5E">
        <w:t> :</w:t>
      </w:r>
      <w:r w:rsidRPr="00C57F5E">
        <w:rPr>
          <w:lang w:eastAsia="fr-FR" w:bidi="fr-FR"/>
        </w:rPr>
        <w:t xml:space="preserve"> d’un côté de forts exc</w:t>
      </w:r>
      <w:r w:rsidRPr="00C57F5E">
        <w:rPr>
          <w:lang w:eastAsia="fr-FR" w:bidi="fr-FR"/>
        </w:rPr>
        <w:t>é</w:t>
      </w:r>
      <w:r w:rsidRPr="00C57F5E">
        <w:rPr>
          <w:lang w:eastAsia="fr-FR" w:bidi="fr-FR"/>
        </w:rPr>
        <w:t>dents commerciaux pour le Japon et l’Allemagne</w:t>
      </w:r>
      <w:r w:rsidRPr="00C57F5E">
        <w:t> ;</w:t>
      </w:r>
      <w:r w:rsidRPr="00C57F5E">
        <w:rPr>
          <w:lang w:eastAsia="fr-FR" w:bidi="fr-FR"/>
        </w:rPr>
        <w:t xml:space="preserve"> d’un autre côté, un déficit durable de la balance des paiements américaines</w:t>
      </w:r>
      <w:r w:rsidRPr="00C57F5E">
        <w:t> »</w:t>
      </w:r>
      <w:r w:rsidRPr="00C57F5E">
        <w:rPr>
          <w:lang w:eastAsia="fr-FR" w:bidi="fr-FR"/>
        </w:rPr>
        <w:t xml:space="preserve"> (Robert Boyer).</w:t>
      </w:r>
    </w:p>
    <w:p w14:paraId="134189AB" w14:textId="77777777" w:rsidR="00833514" w:rsidRDefault="00833514" w:rsidP="00833514">
      <w:pPr>
        <w:spacing w:before="120" w:after="120"/>
        <w:jc w:val="both"/>
      </w:pPr>
      <w:r>
        <w:t>[111]</w:t>
      </w:r>
    </w:p>
    <w:p w14:paraId="544B11A1" w14:textId="77777777" w:rsidR="00833514" w:rsidRPr="00174B2F" w:rsidRDefault="00833514" w:rsidP="00833514">
      <w:pPr>
        <w:pStyle w:val="figtitre"/>
      </w:pPr>
      <w:r w:rsidRPr="00174B2F">
        <w:t>Tableau 2</w:t>
      </w:r>
    </w:p>
    <w:p w14:paraId="5EF02348" w14:textId="77777777" w:rsidR="00833514" w:rsidRPr="00174B2F" w:rsidRDefault="00833514" w:rsidP="00833514">
      <w:pPr>
        <w:pStyle w:val="figtitrest"/>
      </w:pPr>
      <w:r w:rsidRPr="00174B2F">
        <w:t>Balance des paiements courants</w:t>
      </w:r>
      <w:r w:rsidRPr="00174B2F">
        <w:br/>
        <w:t>(en millions de $US)</w:t>
      </w:r>
    </w:p>
    <w:tbl>
      <w:tblPr>
        <w:tblOverlap w:val="never"/>
        <w:tblW w:w="0" w:type="auto"/>
        <w:tblLayout w:type="fixed"/>
        <w:tblCellMar>
          <w:left w:w="10" w:type="dxa"/>
          <w:right w:w="10" w:type="dxa"/>
        </w:tblCellMar>
        <w:tblLook w:val="0000" w:firstRow="0" w:lastRow="0" w:firstColumn="0" w:lastColumn="0" w:noHBand="0" w:noVBand="0"/>
      </w:tblPr>
      <w:tblGrid>
        <w:gridCol w:w="1586"/>
        <w:gridCol w:w="1586"/>
        <w:gridCol w:w="1586"/>
        <w:gridCol w:w="1586"/>
        <w:gridCol w:w="1586"/>
      </w:tblGrid>
      <w:tr w:rsidR="00833514" w:rsidRPr="00174B2F" w14:paraId="798176FA" w14:textId="77777777">
        <w:tblPrEx>
          <w:tblCellMar>
            <w:top w:w="0" w:type="dxa"/>
            <w:bottom w:w="0" w:type="dxa"/>
          </w:tblCellMar>
        </w:tblPrEx>
        <w:tc>
          <w:tcPr>
            <w:tcW w:w="1586" w:type="dxa"/>
            <w:tcBorders>
              <w:top w:val="single" w:sz="8" w:space="0" w:color="auto"/>
              <w:bottom w:val="single" w:sz="8" w:space="0" w:color="auto"/>
            </w:tcBorders>
            <w:shd w:val="clear" w:color="auto" w:fill="EEECE1"/>
          </w:tcPr>
          <w:p w14:paraId="3D865A2C" w14:textId="77777777" w:rsidR="00833514" w:rsidRPr="00174B2F" w:rsidRDefault="00833514" w:rsidP="00833514">
            <w:pPr>
              <w:spacing w:before="60" w:after="60"/>
              <w:ind w:left="90" w:firstLine="0"/>
              <w:rPr>
                <w:sz w:val="24"/>
              </w:rPr>
            </w:pPr>
            <w:r w:rsidRPr="00174B2F">
              <w:rPr>
                <w:sz w:val="24"/>
              </w:rPr>
              <w:t>PAYS</w:t>
            </w:r>
          </w:p>
        </w:tc>
        <w:tc>
          <w:tcPr>
            <w:tcW w:w="1586" w:type="dxa"/>
            <w:tcBorders>
              <w:top w:val="single" w:sz="8" w:space="0" w:color="auto"/>
              <w:bottom w:val="single" w:sz="8" w:space="0" w:color="auto"/>
            </w:tcBorders>
            <w:shd w:val="clear" w:color="auto" w:fill="EEECE1"/>
          </w:tcPr>
          <w:p w14:paraId="663E1BBB" w14:textId="77777777" w:rsidR="00833514" w:rsidRPr="00174B2F" w:rsidRDefault="00833514" w:rsidP="00833514">
            <w:pPr>
              <w:spacing w:before="60" w:after="60"/>
              <w:ind w:firstLine="0"/>
              <w:jc w:val="center"/>
              <w:rPr>
                <w:sz w:val="24"/>
              </w:rPr>
            </w:pPr>
            <w:r w:rsidRPr="00174B2F">
              <w:rPr>
                <w:sz w:val="24"/>
              </w:rPr>
              <w:t>1975</w:t>
            </w:r>
          </w:p>
        </w:tc>
        <w:tc>
          <w:tcPr>
            <w:tcW w:w="1586" w:type="dxa"/>
            <w:tcBorders>
              <w:top w:val="single" w:sz="8" w:space="0" w:color="auto"/>
              <w:bottom w:val="single" w:sz="8" w:space="0" w:color="auto"/>
            </w:tcBorders>
            <w:shd w:val="clear" w:color="auto" w:fill="EEECE1"/>
          </w:tcPr>
          <w:p w14:paraId="77BAB54A" w14:textId="77777777" w:rsidR="00833514" w:rsidRPr="00174B2F" w:rsidRDefault="00833514" w:rsidP="00833514">
            <w:pPr>
              <w:spacing w:before="60" w:after="60"/>
              <w:ind w:firstLine="0"/>
              <w:jc w:val="center"/>
              <w:rPr>
                <w:sz w:val="24"/>
              </w:rPr>
            </w:pPr>
            <w:r w:rsidRPr="00174B2F">
              <w:rPr>
                <w:sz w:val="24"/>
              </w:rPr>
              <w:t>1076</w:t>
            </w:r>
          </w:p>
        </w:tc>
        <w:tc>
          <w:tcPr>
            <w:tcW w:w="1586" w:type="dxa"/>
            <w:tcBorders>
              <w:top w:val="single" w:sz="8" w:space="0" w:color="auto"/>
              <w:bottom w:val="single" w:sz="8" w:space="0" w:color="auto"/>
            </w:tcBorders>
            <w:shd w:val="clear" w:color="auto" w:fill="EEECE1"/>
          </w:tcPr>
          <w:p w14:paraId="50C9C859" w14:textId="77777777" w:rsidR="00833514" w:rsidRPr="00174B2F" w:rsidRDefault="00833514" w:rsidP="00833514">
            <w:pPr>
              <w:spacing w:before="60" w:after="60"/>
              <w:ind w:firstLine="0"/>
              <w:jc w:val="center"/>
              <w:rPr>
                <w:sz w:val="24"/>
              </w:rPr>
            </w:pPr>
            <w:r w:rsidRPr="00174B2F">
              <w:rPr>
                <w:sz w:val="24"/>
              </w:rPr>
              <w:t>1977</w:t>
            </w:r>
          </w:p>
        </w:tc>
        <w:tc>
          <w:tcPr>
            <w:tcW w:w="1586" w:type="dxa"/>
            <w:tcBorders>
              <w:top w:val="single" w:sz="8" w:space="0" w:color="auto"/>
              <w:bottom w:val="single" w:sz="8" w:space="0" w:color="auto"/>
            </w:tcBorders>
            <w:shd w:val="clear" w:color="auto" w:fill="EEECE1"/>
          </w:tcPr>
          <w:p w14:paraId="6817F0E5" w14:textId="77777777" w:rsidR="00833514" w:rsidRPr="00174B2F" w:rsidRDefault="00833514" w:rsidP="00833514">
            <w:pPr>
              <w:spacing w:before="60" w:after="60"/>
              <w:ind w:firstLine="0"/>
              <w:jc w:val="center"/>
              <w:rPr>
                <w:sz w:val="24"/>
              </w:rPr>
            </w:pPr>
            <w:r w:rsidRPr="00174B2F">
              <w:rPr>
                <w:sz w:val="24"/>
              </w:rPr>
              <w:t>1978</w:t>
            </w:r>
          </w:p>
        </w:tc>
      </w:tr>
      <w:tr w:rsidR="00833514" w:rsidRPr="00174B2F" w14:paraId="1C05D6FA" w14:textId="77777777">
        <w:tblPrEx>
          <w:tblCellMar>
            <w:top w:w="0" w:type="dxa"/>
            <w:bottom w:w="0" w:type="dxa"/>
          </w:tblCellMar>
        </w:tblPrEx>
        <w:tc>
          <w:tcPr>
            <w:tcW w:w="1586" w:type="dxa"/>
            <w:tcBorders>
              <w:top w:val="single" w:sz="8" w:space="0" w:color="auto"/>
            </w:tcBorders>
            <w:shd w:val="clear" w:color="auto" w:fill="FFFFFF"/>
          </w:tcPr>
          <w:p w14:paraId="76BE4356" w14:textId="77777777" w:rsidR="00833514" w:rsidRPr="00174B2F" w:rsidRDefault="00833514" w:rsidP="00833514">
            <w:pPr>
              <w:spacing w:before="60" w:after="60"/>
              <w:ind w:left="90" w:firstLine="0"/>
              <w:rPr>
                <w:sz w:val="24"/>
              </w:rPr>
            </w:pPr>
            <w:r w:rsidRPr="00174B2F">
              <w:rPr>
                <w:sz w:val="24"/>
              </w:rPr>
              <w:t>Japon</w:t>
            </w:r>
          </w:p>
        </w:tc>
        <w:tc>
          <w:tcPr>
            <w:tcW w:w="1586" w:type="dxa"/>
            <w:tcBorders>
              <w:top w:val="single" w:sz="8" w:space="0" w:color="auto"/>
            </w:tcBorders>
            <w:shd w:val="clear" w:color="auto" w:fill="FFFFFF"/>
          </w:tcPr>
          <w:p w14:paraId="7C2A3772" w14:textId="77777777" w:rsidR="00833514" w:rsidRPr="00174B2F" w:rsidRDefault="00833514" w:rsidP="00833514">
            <w:pPr>
              <w:spacing w:before="60" w:after="60"/>
              <w:ind w:firstLine="0"/>
              <w:jc w:val="center"/>
              <w:rPr>
                <w:sz w:val="24"/>
              </w:rPr>
            </w:pPr>
            <w:r w:rsidRPr="00174B2F">
              <w:rPr>
                <w:sz w:val="24"/>
              </w:rPr>
              <w:t>-0,680</w:t>
            </w:r>
          </w:p>
        </w:tc>
        <w:tc>
          <w:tcPr>
            <w:tcW w:w="1586" w:type="dxa"/>
            <w:tcBorders>
              <w:top w:val="single" w:sz="8" w:space="0" w:color="auto"/>
            </w:tcBorders>
            <w:shd w:val="clear" w:color="auto" w:fill="FFFFFF"/>
          </w:tcPr>
          <w:p w14:paraId="7A9DFE55" w14:textId="77777777" w:rsidR="00833514" w:rsidRPr="00174B2F" w:rsidRDefault="00833514" w:rsidP="00833514">
            <w:pPr>
              <w:spacing w:before="60" w:after="60"/>
              <w:ind w:firstLine="0"/>
              <w:jc w:val="center"/>
              <w:rPr>
                <w:sz w:val="24"/>
              </w:rPr>
            </w:pPr>
            <w:r w:rsidRPr="00174B2F">
              <w:rPr>
                <w:sz w:val="24"/>
              </w:rPr>
              <w:t>+3,680</w:t>
            </w:r>
          </w:p>
        </w:tc>
        <w:tc>
          <w:tcPr>
            <w:tcW w:w="1586" w:type="dxa"/>
            <w:tcBorders>
              <w:top w:val="single" w:sz="8" w:space="0" w:color="auto"/>
            </w:tcBorders>
            <w:shd w:val="clear" w:color="auto" w:fill="FFFFFF"/>
          </w:tcPr>
          <w:p w14:paraId="1A32EEB4" w14:textId="77777777" w:rsidR="00833514" w:rsidRPr="00174B2F" w:rsidRDefault="00833514" w:rsidP="00833514">
            <w:pPr>
              <w:spacing w:before="60" w:after="60"/>
              <w:ind w:firstLine="0"/>
              <w:jc w:val="center"/>
              <w:rPr>
                <w:sz w:val="24"/>
              </w:rPr>
            </w:pPr>
            <w:r w:rsidRPr="00174B2F">
              <w:rPr>
                <w:sz w:val="24"/>
              </w:rPr>
              <w:t>+ 10,910</w:t>
            </w:r>
          </w:p>
        </w:tc>
        <w:tc>
          <w:tcPr>
            <w:tcW w:w="1586" w:type="dxa"/>
            <w:tcBorders>
              <w:top w:val="single" w:sz="8" w:space="0" w:color="auto"/>
            </w:tcBorders>
            <w:shd w:val="clear" w:color="auto" w:fill="FFFFFF"/>
          </w:tcPr>
          <w:p w14:paraId="2EFC318E" w14:textId="77777777" w:rsidR="00833514" w:rsidRPr="00174B2F" w:rsidRDefault="00833514" w:rsidP="00833514">
            <w:pPr>
              <w:spacing w:before="60" w:after="60"/>
              <w:ind w:firstLine="0"/>
              <w:jc w:val="center"/>
              <w:rPr>
                <w:sz w:val="24"/>
              </w:rPr>
            </w:pPr>
            <w:r w:rsidRPr="00174B2F">
              <w:rPr>
                <w:sz w:val="24"/>
              </w:rPr>
              <w:t>+ 16,630</w:t>
            </w:r>
          </w:p>
        </w:tc>
      </w:tr>
      <w:tr w:rsidR="00833514" w:rsidRPr="00174B2F" w14:paraId="7861F08B" w14:textId="77777777">
        <w:tblPrEx>
          <w:tblCellMar>
            <w:top w:w="0" w:type="dxa"/>
            <w:bottom w:w="0" w:type="dxa"/>
          </w:tblCellMar>
        </w:tblPrEx>
        <w:tc>
          <w:tcPr>
            <w:tcW w:w="1586" w:type="dxa"/>
            <w:shd w:val="clear" w:color="auto" w:fill="FFFFFF"/>
          </w:tcPr>
          <w:p w14:paraId="2714E5C0" w14:textId="77777777" w:rsidR="00833514" w:rsidRPr="00174B2F" w:rsidRDefault="00833514" w:rsidP="00833514">
            <w:pPr>
              <w:spacing w:before="60" w:after="60"/>
              <w:ind w:left="90" w:firstLine="0"/>
              <w:rPr>
                <w:sz w:val="24"/>
              </w:rPr>
            </w:pPr>
            <w:r w:rsidRPr="00174B2F">
              <w:rPr>
                <w:sz w:val="24"/>
              </w:rPr>
              <w:t>Allem</w:t>
            </w:r>
            <w:r w:rsidRPr="00174B2F">
              <w:rPr>
                <w:sz w:val="24"/>
              </w:rPr>
              <w:t>a</w:t>
            </w:r>
            <w:r w:rsidRPr="00174B2F">
              <w:rPr>
                <w:sz w:val="24"/>
              </w:rPr>
              <w:t>gne</w:t>
            </w:r>
          </w:p>
        </w:tc>
        <w:tc>
          <w:tcPr>
            <w:tcW w:w="1586" w:type="dxa"/>
            <w:shd w:val="clear" w:color="auto" w:fill="FFFFFF"/>
          </w:tcPr>
          <w:p w14:paraId="67BEC1AD" w14:textId="77777777" w:rsidR="00833514" w:rsidRPr="00174B2F" w:rsidRDefault="00833514" w:rsidP="00833514">
            <w:pPr>
              <w:spacing w:before="60" w:after="60"/>
              <w:ind w:firstLine="0"/>
              <w:jc w:val="center"/>
              <w:rPr>
                <w:sz w:val="24"/>
              </w:rPr>
            </w:pPr>
            <w:r w:rsidRPr="00174B2F">
              <w:rPr>
                <w:sz w:val="24"/>
              </w:rPr>
              <w:t>+4,060</w:t>
            </w:r>
          </w:p>
        </w:tc>
        <w:tc>
          <w:tcPr>
            <w:tcW w:w="1586" w:type="dxa"/>
            <w:shd w:val="clear" w:color="auto" w:fill="FFFFFF"/>
          </w:tcPr>
          <w:p w14:paraId="1C18FC44" w14:textId="77777777" w:rsidR="00833514" w:rsidRPr="00174B2F" w:rsidRDefault="00833514" w:rsidP="00833514">
            <w:pPr>
              <w:spacing w:before="60" w:after="60"/>
              <w:ind w:firstLine="0"/>
              <w:jc w:val="center"/>
              <w:rPr>
                <w:sz w:val="24"/>
              </w:rPr>
            </w:pPr>
            <w:r w:rsidRPr="00174B2F">
              <w:rPr>
                <w:sz w:val="24"/>
              </w:rPr>
              <w:t>+3,900</w:t>
            </w:r>
          </w:p>
        </w:tc>
        <w:tc>
          <w:tcPr>
            <w:tcW w:w="1586" w:type="dxa"/>
            <w:shd w:val="clear" w:color="auto" w:fill="FFFFFF"/>
          </w:tcPr>
          <w:p w14:paraId="05927E32" w14:textId="77777777" w:rsidR="00833514" w:rsidRPr="00174B2F" w:rsidRDefault="00833514" w:rsidP="00833514">
            <w:pPr>
              <w:spacing w:before="60" w:after="60"/>
              <w:ind w:firstLine="0"/>
              <w:jc w:val="center"/>
              <w:rPr>
                <w:sz w:val="24"/>
              </w:rPr>
            </w:pPr>
            <w:r w:rsidRPr="00174B2F">
              <w:rPr>
                <w:sz w:val="24"/>
              </w:rPr>
              <w:t>+3,800</w:t>
            </w:r>
          </w:p>
        </w:tc>
        <w:tc>
          <w:tcPr>
            <w:tcW w:w="1586" w:type="dxa"/>
            <w:shd w:val="clear" w:color="auto" w:fill="FFFFFF"/>
          </w:tcPr>
          <w:p w14:paraId="5FFFEE32" w14:textId="77777777" w:rsidR="00833514" w:rsidRPr="00174B2F" w:rsidRDefault="00833514" w:rsidP="00833514">
            <w:pPr>
              <w:spacing w:before="60" w:after="60"/>
              <w:ind w:firstLine="0"/>
              <w:jc w:val="center"/>
              <w:rPr>
                <w:sz w:val="24"/>
              </w:rPr>
            </w:pPr>
            <w:r w:rsidRPr="00174B2F">
              <w:rPr>
                <w:sz w:val="24"/>
              </w:rPr>
              <w:t>+8,040</w:t>
            </w:r>
          </w:p>
        </w:tc>
      </w:tr>
      <w:tr w:rsidR="00833514" w:rsidRPr="00174B2F" w14:paraId="6244D4EA" w14:textId="77777777">
        <w:tblPrEx>
          <w:tblCellMar>
            <w:top w:w="0" w:type="dxa"/>
            <w:bottom w:w="0" w:type="dxa"/>
          </w:tblCellMar>
        </w:tblPrEx>
        <w:tc>
          <w:tcPr>
            <w:tcW w:w="1586" w:type="dxa"/>
            <w:shd w:val="clear" w:color="auto" w:fill="FFFFFF"/>
          </w:tcPr>
          <w:p w14:paraId="6055F26A" w14:textId="77777777" w:rsidR="00833514" w:rsidRPr="00174B2F" w:rsidRDefault="00833514" w:rsidP="00833514">
            <w:pPr>
              <w:spacing w:before="60" w:after="60"/>
              <w:ind w:left="90" w:firstLine="0"/>
              <w:rPr>
                <w:sz w:val="24"/>
              </w:rPr>
            </w:pPr>
            <w:r w:rsidRPr="00174B2F">
              <w:rPr>
                <w:sz w:val="24"/>
              </w:rPr>
              <w:t>Canada</w:t>
            </w:r>
          </w:p>
        </w:tc>
        <w:tc>
          <w:tcPr>
            <w:tcW w:w="1586" w:type="dxa"/>
            <w:shd w:val="clear" w:color="auto" w:fill="FFFFFF"/>
          </w:tcPr>
          <w:p w14:paraId="5C41B854" w14:textId="77777777" w:rsidR="00833514" w:rsidRPr="00174B2F" w:rsidRDefault="00833514" w:rsidP="00833514">
            <w:pPr>
              <w:spacing w:before="60" w:after="60"/>
              <w:ind w:firstLine="0"/>
              <w:jc w:val="center"/>
              <w:rPr>
                <w:sz w:val="24"/>
              </w:rPr>
            </w:pPr>
            <w:r w:rsidRPr="00174B2F">
              <w:rPr>
                <w:sz w:val="24"/>
              </w:rPr>
              <w:t>-4,900</w:t>
            </w:r>
          </w:p>
        </w:tc>
        <w:tc>
          <w:tcPr>
            <w:tcW w:w="1586" w:type="dxa"/>
            <w:shd w:val="clear" w:color="auto" w:fill="FFFFFF"/>
          </w:tcPr>
          <w:p w14:paraId="604956F7" w14:textId="77777777" w:rsidR="00833514" w:rsidRPr="00174B2F" w:rsidRDefault="00833514" w:rsidP="00833514">
            <w:pPr>
              <w:spacing w:before="60" w:after="60"/>
              <w:ind w:firstLine="0"/>
              <w:jc w:val="center"/>
              <w:rPr>
                <w:sz w:val="24"/>
              </w:rPr>
            </w:pPr>
            <w:r w:rsidRPr="00174B2F">
              <w:rPr>
                <w:sz w:val="24"/>
              </w:rPr>
              <w:t>-4,370</w:t>
            </w:r>
          </w:p>
        </w:tc>
        <w:tc>
          <w:tcPr>
            <w:tcW w:w="1586" w:type="dxa"/>
            <w:shd w:val="clear" w:color="auto" w:fill="FFFFFF"/>
          </w:tcPr>
          <w:p w14:paraId="789A2382" w14:textId="77777777" w:rsidR="00833514" w:rsidRPr="00174B2F" w:rsidRDefault="00833514" w:rsidP="00833514">
            <w:pPr>
              <w:spacing w:before="60" w:after="60"/>
              <w:ind w:firstLine="0"/>
              <w:jc w:val="center"/>
              <w:rPr>
                <w:sz w:val="24"/>
              </w:rPr>
            </w:pPr>
            <w:r w:rsidRPr="00174B2F">
              <w:rPr>
                <w:sz w:val="24"/>
              </w:rPr>
              <w:t>-3,930</w:t>
            </w:r>
          </w:p>
        </w:tc>
        <w:tc>
          <w:tcPr>
            <w:tcW w:w="1586" w:type="dxa"/>
            <w:shd w:val="clear" w:color="auto" w:fill="FFFFFF"/>
          </w:tcPr>
          <w:p w14:paraId="4C513400" w14:textId="77777777" w:rsidR="00833514" w:rsidRPr="00174B2F" w:rsidRDefault="00833514" w:rsidP="00833514">
            <w:pPr>
              <w:spacing w:before="60" w:after="60"/>
              <w:ind w:firstLine="0"/>
              <w:jc w:val="center"/>
              <w:rPr>
                <w:sz w:val="24"/>
              </w:rPr>
            </w:pPr>
            <w:r w:rsidRPr="00174B2F">
              <w:rPr>
                <w:sz w:val="24"/>
              </w:rPr>
              <w:t>-4,610</w:t>
            </w:r>
          </w:p>
        </w:tc>
      </w:tr>
      <w:tr w:rsidR="00833514" w:rsidRPr="00174B2F" w14:paraId="287551B0" w14:textId="77777777">
        <w:tblPrEx>
          <w:tblCellMar>
            <w:top w:w="0" w:type="dxa"/>
            <w:bottom w:w="0" w:type="dxa"/>
          </w:tblCellMar>
        </w:tblPrEx>
        <w:tc>
          <w:tcPr>
            <w:tcW w:w="1586" w:type="dxa"/>
            <w:tcBorders>
              <w:bottom w:val="single" w:sz="8" w:space="0" w:color="auto"/>
            </w:tcBorders>
            <w:shd w:val="clear" w:color="auto" w:fill="FFFFFF"/>
          </w:tcPr>
          <w:p w14:paraId="05A90AF3" w14:textId="77777777" w:rsidR="00833514" w:rsidRPr="00174B2F" w:rsidRDefault="00833514" w:rsidP="00833514">
            <w:pPr>
              <w:spacing w:before="60" w:after="60"/>
              <w:ind w:left="90" w:firstLine="0"/>
              <w:rPr>
                <w:sz w:val="24"/>
              </w:rPr>
            </w:pPr>
            <w:r>
              <w:rPr>
                <w:sz w:val="24"/>
              </w:rPr>
              <w:t>États-Unis</w:t>
            </w:r>
          </w:p>
        </w:tc>
        <w:tc>
          <w:tcPr>
            <w:tcW w:w="1586" w:type="dxa"/>
            <w:tcBorders>
              <w:bottom w:val="single" w:sz="8" w:space="0" w:color="auto"/>
            </w:tcBorders>
            <w:shd w:val="clear" w:color="auto" w:fill="FFFFFF"/>
          </w:tcPr>
          <w:p w14:paraId="4115BC02" w14:textId="77777777" w:rsidR="00833514" w:rsidRPr="00174B2F" w:rsidRDefault="00833514" w:rsidP="00833514">
            <w:pPr>
              <w:spacing w:before="60" w:after="60"/>
              <w:ind w:firstLine="0"/>
              <w:jc w:val="center"/>
              <w:rPr>
                <w:sz w:val="24"/>
              </w:rPr>
            </w:pPr>
            <w:r w:rsidRPr="00174B2F">
              <w:rPr>
                <w:sz w:val="24"/>
              </w:rPr>
              <w:t>+ 17,740</w:t>
            </w:r>
          </w:p>
        </w:tc>
        <w:tc>
          <w:tcPr>
            <w:tcW w:w="1586" w:type="dxa"/>
            <w:tcBorders>
              <w:bottom w:val="single" w:sz="8" w:space="0" w:color="auto"/>
            </w:tcBorders>
            <w:shd w:val="clear" w:color="auto" w:fill="FFFFFF"/>
          </w:tcPr>
          <w:p w14:paraId="79DA6740" w14:textId="77777777" w:rsidR="00833514" w:rsidRPr="00174B2F" w:rsidRDefault="00833514" w:rsidP="00833514">
            <w:pPr>
              <w:spacing w:before="60" w:after="60"/>
              <w:ind w:firstLine="0"/>
              <w:jc w:val="center"/>
              <w:rPr>
                <w:sz w:val="24"/>
              </w:rPr>
            </w:pPr>
            <w:r w:rsidRPr="00174B2F">
              <w:rPr>
                <w:sz w:val="24"/>
              </w:rPr>
              <w:t>+4,430</w:t>
            </w:r>
          </w:p>
        </w:tc>
        <w:tc>
          <w:tcPr>
            <w:tcW w:w="1586" w:type="dxa"/>
            <w:tcBorders>
              <w:bottom w:val="single" w:sz="8" w:space="0" w:color="auto"/>
            </w:tcBorders>
            <w:shd w:val="clear" w:color="auto" w:fill="FFFFFF"/>
          </w:tcPr>
          <w:p w14:paraId="4AB7E9E0" w14:textId="77777777" w:rsidR="00833514" w:rsidRPr="00174B2F" w:rsidRDefault="00833514" w:rsidP="00833514">
            <w:pPr>
              <w:spacing w:before="60" w:after="60"/>
              <w:ind w:firstLine="0"/>
              <w:jc w:val="center"/>
              <w:rPr>
                <w:sz w:val="24"/>
              </w:rPr>
            </w:pPr>
            <w:r w:rsidRPr="00174B2F">
              <w:rPr>
                <w:sz w:val="24"/>
              </w:rPr>
              <w:t>-15,250</w:t>
            </w:r>
          </w:p>
        </w:tc>
        <w:tc>
          <w:tcPr>
            <w:tcW w:w="1586" w:type="dxa"/>
            <w:tcBorders>
              <w:bottom w:val="single" w:sz="8" w:space="0" w:color="auto"/>
            </w:tcBorders>
            <w:shd w:val="clear" w:color="auto" w:fill="FFFFFF"/>
          </w:tcPr>
          <w:p w14:paraId="0C94184F" w14:textId="77777777" w:rsidR="00833514" w:rsidRPr="00174B2F" w:rsidRDefault="00833514" w:rsidP="00833514">
            <w:pPr>
              <w:spacing w:before="60" w:after="60"/>
              <w:ind w:firstLine="0"/>
              <w:jc w:val="center"/>
              <w:rPr>
                <w:sz w:val="24"/>
              </w:rPr>
            </w:pPr>
            <w:r w:rsidRPr="00174B2F">
              <w:rPr>
                <w:sz w:val="24"/>
              </w:rPr>
              <w:t>-15,960</w:t>
            </w:r>
          </w:p>
        </w:tc>
      </w:tr>
    </w:tbl>
    <w:p w14:paraId="37CB8F40" w14:textId="77777777" w:rsidR="00833514" w:rsidRPr="00174B2F" w:rsidRDefault="00833514" w:rsidP="00833514">
      <w:pPr>
        <w:rPr>
          <w:sz w:val="24"/>
        </w:rPr>
      </w:pPr>
      <w:r>
        <w:rPr>
          <w:sz w:val="24"/>
        </w:rPr>
        <w:t xml:space="preserve">Source : </w:t>
      </w:r>
      <w:r w:rsidRPr="00174B2F">
        <w:rPr>
          <w:sz w:val="24"/>
        </w:rPr>
        <w:t>O.C.D.E.</w:t>
      </w:r>
    </w:p>
    <w:p w14:paraId="17435A93" w14:textId="77777777" w:rsidR="00833514" w:rsidRDefault="00833514" w:rsidP="00833514">
      <w:pPr>
        <w:spacing w:before="120" w:after="120"/>
        <w:jc w:val="both"/>
        <w:rPr>
          <w:szCs w:val="2"/>
        </w:rPr>
      </w:pPr>
    </w:p>
    <w:p w14:paraId="0DF68874" w14:textId="77777777" w:rsidR="00833514" w:rsidRPr="00C57F5E" w:rsidRDefault="000968E2" w:rsidP="00833514">
      <w:pPr>
        <w:pStyle w:val="fig"/>
      </w:pPr>
      <w:r>
        <w:rPr>
          <w:noProof/>
        </w:rPr>
        <w:drawing>
          <wp:inline distT="0" distB="0" distL="0" distR="0" wp14:anchorId="4A3D144E" wp14:editId="2440DDE9">
            <wp:extent cx="4851400" cy="3022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1400" cy="3022600"/>
                    </a:xfrm>
                    <a:prstGeom prst="rect">
                      <a:avLst/>
                    </a:prstGeom>
                    <a:noFill/>
                    <a:ln>
                      <a:noFill/>
                    </a:ln>
                  </pic:spPr>
                </pic:pic>
              </a:graphicData>
            </a:graphic>
          </wp:inline>
        </w:drawing>
      </w:r>
    </w:p>
    <w:p w14:paraId="45DD95D1" w14:textId="77777777" w:rsidR="00833514" w:rsidRPr="00C57F5E" w:rsidRDefault="00833514" w:rsidP="00833514">
      <w:pPr>
        <w:spacing w:before="120" w:after="120"/>
        <w:jc w:val="both"/>
      </w:pPr>
      <w:r w:rsidRPr="00C57F5E">
        <w:rPr>
          <w:lang w:eastAsia="fr-FR" w:bidi="fr-FR"/>
        </w:rPr>
        <w:t>Quant à eux,</w:t>
      </w:r>
      <w:r>
        <w:rPr>
          <w:lang w:eastAsia="fr-FR" w:bidi="fr-FR"/>
        </w:rPr>
        <w:t xml:space="preserve"> les Majors ont profité de cet</w:t>
      </w:r>
      <w:r w:rsidRPr="00C57F5E">
        <w:rPr>
          <w:lang w:eastAsia="fr-FR" w:bidi="fr-FR"/>
        </w:rPr>
        <w:t xml:space="preserve"> apport massif de cap</w:t>
      </w:r>
      <w:r w:rsidRPr="00C57F5E">
        <w:rPr>
          <w:lang w:eastAsia="fr-FR" w:bidi="fr-FR"/>
        </w:rPr>
        <w:t>i</w:t>
      </w:r>
      <w:r w:rsidRPr="00C57F5E">
        <w:rPr>
          <w:lang w:eastAsia="fr-FR" w:bidi="fr-FR"/>
        </w:rPr>
        <w:t>taux pour consolider leurs positions, accroître la prospection, partic</w:t>
      </w:r>
      <w:r w:rsidRPr="00C57F5E">
        <w:rPr>
          <w:lang w:eastAsia="fr-FR" w:bidi="fr-FR"/>
        </w:rPr>
        <w:t>u</w:t>
      </w:r>
      <w:r w:rsidRPr="00C57F5E">
        <w:rPr>
          <w:lang w:eastAsia="fr-FR" w:bidi="fr-FR"/>
        </w:rPr>
        <w:t>li</w:t>
      </w:r>
      <w:r w:rsidRPr="00C57F5E">
        <w:rPr>
          <w:lang w:eastAsia="fr-FR" w:bidi="fr-FR"/>
        </w:rPr>
        <w:t>è</w:t>
      </w:r>
      <w:r w:rsidRPr="00C57F5E">
        <w:rPr>
          <w:lang w:eastAsia="fr-FR" w:bidi="fr-FR"/>
        </w:rPr>
        <w:t xml:space="preserve">rement en mer et intensifier la recherche pour trouver des sources d’énergie alternatives. La hausse du prix du pétrole leur a permis de </w:t>
      </w:r>
      <w:r w:rsidRPr="00C57F5E">
        <w:rPr>
          <w:lang w:eastAsia="fr-FR" w:bidi="fr-FR"/>
        </w:rPr>
        <w:lastRenderedPageBreak/>
        <w:t>do</w:t>
      </w:r>
      <w:r w:rsidRPr="00C57F5E">
        <w:rPr>
          <w:lang w:eastAsia="fr-FR" w:bidi="fr-FR"/>
        </w:rPr>
        <w:t>u</w:t>
      </w:r>
      <w:r w:rsidRPr="00C57F5E">
        <w:rPr>
          <w:lang w:eastAsia="fr-FR" w:bidi="fr-FR"/>
        </w:rPr>
        <w:t>bler leurs profits qui sont passés de 4,5 milliards de dollars en 1972 à 11 milliards en 1974.</w:t>
      </w:r>
    </w:p>
    <w:p w14:paraId="60C95E4C" w14:textId="77777777" w:rsidR="00833514" w:rsidRPr="00C57F5E" w:rsidRDefault="00833514" w:rsidP="00833514">
      <w:pPr>
        <w:spacing w:before="120" w:after="120"/>
        <w:jc w:val="both"/>
      </w:pPr>
      <w:r w:rsidRPr="00C57F5E">
        <w:rPr>
          <w:lang w:eastAsia="fr-FR" w:bidi="fr-FR"/>
        </w:rPr>
        <w:t xml:space="preserve">Les </w:t>
      </w:r>
      <w:r w:rsidRPr="00C57F5E">
        <w:t>État</w:t>
      </w:r>
      <w:r w:rsidRPr="00C57F5E">
        <w:rPr>
          <w:lang w:eastAsia="fr-FR" w:bidi="fr-FR"/>
        </w:rPr>
        <w:t>s consommateurs ont eux aussi profité de cette augment</w:t>
      </w:r>
      <w:r w:rsidRPr="00C57F5E">
        <w:rPr>
          <w:lang w:eastAsia="fr-FR" w:bidi="fr-FR"/>
        </w:rPr>
        <w:t>a</w:t>
      </w:r>
      <w:r w:rsidRPr="00C57F5E">
        <w:rPr>
          <w:lang w:eastAsia="fr-FR" w:bidi="fr-FR"/>
        </w:rPr>
        <w:t>tion en maj</w:t>
      </w:r>
      <w:r w:rsidRPr="00C57F5E">
        <w:rPr>
          <w:lang w:eastAsia="fr-FR" w:bidi="fr-FR"/>
        </w:rPr>
        <w:t>o</w:t>
      </w:r>
      <w:r w:rsidRPr="00C57F5E">
        <w:rPr>
          <w:lang w:eastAsia="fr-FR" w:bidi="fr-FR"/>
        </w:rPr>
        <w:t>rant leurs taxes en moyenne de 10</w:t>
      </w:r>
      <w:r>
        <w:rPr>
          <w:lang w:eastAsia="fr-FR" w:bidi="fr-FR"/>
        </w:rPr>
        <w:t>%</w:t>
      </w:r>
      <w:r w:rsidRPr="00C57F5E">
        <w:rPr>
          <w:lang w:eastAsia="fr-FR" w:bidi="fr-FR"/>
        </w:rPr>
        <w:t>. Ils continuent ainsi à percevoir environ la moitié de la valeur fin</w:t>
      </w:r>
      <w:r w:rsidRPr="00C57F5E">
        <w:rPr>
          <w:lang w:eastAsia="fr-FR" w:bidi="fr-FR"/>
        </w:rPr>
        <w:t>a</w:t>
      </w:r>
      <w:r w:rsidRPr="00C57F5E">
        <w:rPr>
          <w:lang w:eastAsia="fr-FR" w:bidi="fr-FR"/>
        </w:rPr>
        <w:t>le de l’essence.</w:t>
      </w:r>
    </w:p>
    <w:p w14:paraId="28336E9D" w14:textId="77777777" w:rsidR="00833514" w:rsidRDefault="00833514" w:rsidP="00833514">
      <w:pPr>
        <w:spacing w:before="120" w:after="120"/>
        <w:jc w:val="both"/>
      </w:pPr>
      <w:r>
        <w:t>[112]</w:t>
      </w:r>
    </w:p>
    <w:p w14:paraId="5827512E" w14:textId="77777777" w:rsidR="00833514" w:rsidRDefault="00833514" w:rsidP="00833514">
      <w:pPr>
        <w:spacing w:before="120" w:after="120"/>
        <w:jc w:val="both"/>
      </w:pPr>
    </w:p>
    <w:p w14:paraId="77622ADF" w14:textId="77777777" w:rsidR="00833514" w:rsidRDefault="00833514" w:rsidP="00833514">
      <w:pPr>
        <w:pStyle w:val="b"/>
      </w:pPr>
      <w:r>
        <w:t>Et maintenant…</w:t>
      </w:r>
    </w:p>
    <w:p w14:paraId="0C13B310" w14:textId="77777777" w:rsidR="00833514" w:rsidRDefault="00833514" w:rsidP="00833514">
      <w:pPr>
        <w:spacing w:before="120" w:after="120"/>
        <w:jc w:val="both"/>
      </w:pPr>
    </w:p>
    <w:p w14:paraId="6AC91EA3" w14:textId="77777777" w:rsidR="00833514" w:rsidRPr="00C57F5E" w:rsidRDefault="00833514" w:rsidP="00833514">
      <w:pPr>
        <w:spacing w:before="120" w:after="120"/>
        <w:jc w:val="both"/>
      </w:pPr>
      <w:r w:rsidRPr="00C57F5E">
        <w:rPr>
          <w:lang w:eastAsia="fr-FR" w:bidi="fr-FR"/>
        </w:rPr>
        <w:t>Pour lutter contre l’érosion monétaire, les pays membres de l’OPEP ont décidé, après un quasi-gel de deux ans, d’augmenter de 61</w:t>
      </w:r>
      <w:r>
        <w:rPr>
          <w:lang w:eastAsia="fr-FR" w:bidi="fr-FR"/>
        </w:rPr>
        <w:t>%</w:t>
      </w:r>
      <w:r w:rsidRPr="00C57F5E">
        <w:rPr>
          <w:lang w:eastAsia="fr-FR" w:bidi="fr-FR"/>
        </w:rPr>
        <w:t xml:space="preserve"> le prix du pétrole entre décembre 1978 et juillet 1979. Par contre, en juin 1979, les pays membres de l’OPEP ne sont pas parvenu à s’entendre sur un prix unique</w:t>
      </w:r>
      <w:r w:rsidRPr="00C57F5E">
        <w:t> ;</w:t>
      </w:r>
      <w:r w:rsidRPr="00C57F5E">
        <w:rPr>
          <w:lang w:eastAsia="fr-FR" w:bidi="fr-FR"/>
        </w:rPr>
        <w:t xml:space="preserve"> celui-ci oscille entre </w:t>
      </w:r>
      <w:r>
        <w:rPr>
          <w:lang w:eastAsia="fr-FR" w:bidi="fr-FR"/>
        </w:rPr>
        <w:t>$ </w:t>
      </w:r>
      <w:r w:rsidRPr="00C57F5E">
        <w:rPr>
          <w:lang w:eastAsia="fr-FR" w:bidi="fr-FR"/>
        </w:rPr>
        <w:t xml:space="preserve">18.00 et 23.50 le baril. Dans les faits, le prix international a continué à augmenter. Le prix moyen du baril se situant à </w:t>
      </w:r>
      <w:r>
        <w:rPr>
          <w:lang w:eastAsia="fr-FR" w:bidi="fr-FR"/>
        </w:rPr>
        <w:t>$ </w:t>
      </w:r>
      <w:r w:rsidRPr="00C57F5E">
        <w:rPr>
          <w:lang w:eastAsia="fr-FR" w:bidi="fr-FR"/>
        </w:rPr>
        <w:t xml:space="preserve">21.04 en octobre 1979, est passé à </w:t>
      </w:r>
      <w:r>
        <w:rPr>
          <w:lang w:eastAsia="fr-FR" w:bidi="fr-FR"/>
        </w:rPr>
        <w:t>$ </w:t>
      </w:r>
      <w:r w:rsidRPr="00C57F5E">
        <w:rPr>
          <w:lang w:eastAsia="fr-FR" w:bidi="fr-FR"/>
        </w:rPr>
        <w:t xml:space="preserve">26.83 en décembre pour atteindre </w:t>
      </w:r>
      <w:r>
        <w:rPr>
          <w:lang w:eastAsia="fr-FR" w:bidi="fr-FR"/>
        </w:rPr>
        <w:t>$ </w:t>
      </w:r>
      <w:r w:rsidRPr="00C57F5E">
        <w:rPr>
          <w:lang w:eastAsia="fr-FR" w:bidi="fr-FR"/>
        </w:rPr>
        <w:t>26.83 en janvier et $29 en f</w:t>
      </w:r>
      <w:r w:rsidRPr="00C57F5E">
        <w:rPr>
          <w:lang w:eastAsia="fr-FR" w:bidi="fr-FR"/>
        </w:rPr>
        <w:t>é</w:t>
      </w:r>
      <w:r w:rsidRPr="00C57F5E">
        <w:rPr>
          <w:lang w:eastAsia="fr-FR" w:bidi="fr-FR"/>
        </w:rPr>
        <w:t>vrier, soit une hausse de plus de 110</w:t>
      </w:r>
      <w:r>
        <w:rPr>
          <w:lang w:eastAsia="fr-FR" w:bidi="fr-FR"/>
        </w:rPr>
        <w:t>%</w:t>
      </w:r>
      <w:r w:rsidRPr="00C57F5E">
        <w:rPr>
          <w:lang w:eastAsia="fr-FR" w:bidi="fr-FR"/>
        </w:rPr>
        <w:t xml:space="preserve"> par rapport à décembre 1978</w:t>
      </w:r>
      <w:r w:rsidRPr="00C57F5E">
        <w:t> !</w:t>
      </w:r>
      <w:r w:rsidRPr="00C57F5E">
        <w:rPr>
          <w:lang w:eastAsia="fr-FR" w:bidi="fr-FR"/>
        </w:rPr>
        <w:t xml:space="preserve"> Ce mouvement de hausse des prix n’a pas conduit à l’uniformisation des barèmes de l’OPEP avec un écart de 30</w:t>
      </w:r>
      <w:r>
        <w:rPr>
          <w:lang w:eastAsia="fr-FR" w:bidi="fr-FR"/>
        </w:rPr>
        <w:t>%</w:t>
      </w:r>
      <w:r w:rsidRPr="00C57F5E">
        <w:rPr>
          <w:lang w:eastAsia="fr-FR" w:bidi="fr-FR"/>
        </w:rPr>
        <w:t xml:space="preserve"> entre ses bruts de qual</w:t>
      </w:r>
      <w:r w:rsidRPr="00C57F5E">
        <w:rPr>
          <w:lang w:eastAsia="fr-FR" w:bidi="fr-FR"/>
        </w:rPr>
        <w:t>i</w:t>
      </w:r>
      <w:r w:rsidRPr="00C57F5E">
        <w:rPr>
          <w:lang w:eastAsia="fr-FR" w:bidi="fr-FR"/>
        </w:rPr>
        <w:t>té équivalente comme le léger saoudien (</w:t>
      </w:r>
      <w:r>
        <w:rPr>
          <w:lang w:eastAsia="fr-FR" w:bidi="fr-FR"/>
        </w:rPr>
        <w:t>$ </w:t>
      </w:r>
      <w:r w:rsidRPr="00C57F5E">
        <w:rPr>
          <w:lang w:eastAsia="fr-FR" w:bidi="fr-FR"/>
        </w:rPr>
        <w:t>26) et le brut algérien (</w:t>
      </w:r>
      <w:r>
        <w:rPr>
          <w:lang w:eastAsia="fr-FR" w:bidi="fr-FR"/>
        </w:rPr>
        <w:t>$ </w:t>
      </w:r>
      <w:r w:rsidRPr="00C57F5E">
        <w:rPr>
          <w:lang w:eastAsia="fr-FR" w:bidi="fr-FR"/>
        </w:rPr>
        <w:t>34.21).</w:t>
      </w:r>
    </w:p>
    <w:p w14:paraId="40A94B66" w14:textId="77777777" w:rsidR="00833514" w:rsidRPr="00C57F5E" w:rsidRDefault="00833514" w:rsidP="00833514">
      <w:pPr>
        <w:spacing w:before="120" w:after="120"/>
        <w:jc w:val="both"/>
      </w:pPr>
      <w:r w:rsidRPr="00C57F5E">
        <w:rPr>
          <w:lang w:eastAsia="fr-FR" w:bidi="fr-FR"/>
        </w:rPr>
        <w:t xml:space="preserve">Cette hausse a encore une fois profité aux Majors qui ont accru leur profit de façon phénoménale avec quelques </w:t>
      </w:r>
      <w:r>
        <w:rPr>
          <w:lang w:eastAsia="fr-FR" w:bidi="fr-FR"/>
        </w:rPr>
        <w:t>$ </w:t>
      </w:r>
      <w:r w:rsidRPr="00C57F5E">
        <w:rPr>
          <w:lang w:eastAsia="fr-FR" w:bidi="fr-FR"/>
        </w:rPr>
        <w:t>5 milliards de do</w:t>
      </w:r>
      <w:r w:rsidRPr="00C57F5E">
        <w:rPr>
          <w:lang w:eastAsia="fr-FR" w:bidi="fr-FR"/>
        </w:rPr>
        <w:t>l</w:t>
      </w:r>
      <w:r w:rsidRPr="00C57F5E">
        <w:rPr>
          <w:lang w:eastAsia="fr-FR" w:bidi="fr-FR"/>
        </w:rPr>
        <w:t>lars de plus qu’en 1978 pour atteindre des bénéfices de l’ordre de 30 milliards de dollars. Cette hausse de plus de 50</w:t>
      </w:r>
      <w:r>
        <w:rPr>
          <w:lang w:eastAsia="fr-FR" w:bidi="fr-FR"/>
        </w:rPr>
        <w:t>%</w:t>
      </w:r>
      <w:r w:rsidRPr="00C57F5E">
        <w:rPr>
          <w:lang w:eastAsia="fr-FR" w:bidi="fr-FR"/>
        </w:rPr>
        <w:t xml:space="preserve"> des bénéfices pr</w:t>
      </w:r>
      <w:r w:rsidRPr="00C57F5E">
        <w:rPr>
          <w:lang w:eastAsia="fr-FR" w:bidi="fr-FR"/>
        </w:rPr>
        <w:t>o</w:t>
      </w:r>
      <w:r w:rsidRPr="00C57F5E">
        <w:rPr>
          <w:lang w:eastAsia="fr-FR" w:bidi="fr-FR"/>
        </w:rPr>
        <w:t xml:space="preserve">vient en grande partie de l’extérieur des </w:t>
      </w:r>
      <w:r w:rsidRPr="00C57F5E">
        <w:t>État</w:t>
      </w:r>
      <w:r w:rsidRPr="00C57F5E">
        <w:rPr>
          <w:lang w:eastAsia="fr-FR" w:bidi="fr-FR"/>
        </w:rPr>
        <w:t xml:space="preserve">s-Unis particulièrement des </w:t>
      </w:r>
      <w:r w:rsidRPr="00174B2F">
        <w:rPr>
          <w:i/>
        </w:rPr>
        <w:t>ventes sur les marchés l</w:t>
      </w:r>
      <w:r w:rsidRPr="00174B2F">
        <w:rPr>
          <w:i/>
        </w:rPr>
        <w:t>i</w:t>
      </w:r>
      <w:r w:rsidRPr="00174B2F">
        <w:rPr>
          <w:i/>
        </w:rPr>
        <w:t>bres</w:t>
      </w:r>
      <w:r w:rsidRPr="00C57F5E">
        <w:rPr>
          <w:lang w:eastAsia="fr-FR" w:bidi="fr-FR"/>
        </w:rPr>
        <w:t xml:space="preserve"> (Spot Market) de Rotterdam et de Gênes. Ce type de vente hors contrat représenterait environ 20</w:t>
      </w:r>
      <w:r>
        <w:rPr>
          <w:lang w:eastAsia="fr-FR" w:bidi="fr-FR"/>
        </w:rPr>
        <w:t>%</w:t>
      </w:r>
      <w:r w:rsidRPr="00C57F5E">
        <w:rPr>
          <w:lang w:eastAsia="fr-FR" w:bidi="fr-FR"/>
        </w:rPr>
        <w:t xml:space="preserve"> des transactions inte</w:t>
      </w:r>
      <w:r w:rsidRPr="00C57F5E">
        <w:rPr>
          <w:lang w:eastAsia="fr-FR" w:bidi="fr-FR"/>
        </w:rPr>
        <w:t>r</w:t>
      </w:r>
      <w:r w:rsidRPr="00C57F5E">
        <w:rPr>
          <w:lang w:eastAsia="fr-FR" w:bidi="fr-FR"/>
        </w:rPr>
        <w:t xml:space="preserve">nationales de pétrole </w:t>
      </w:r>
      <w:r>
        <w:rPr>
          <w:lang w:eastAsia="fr-FR" w:bidi="fr-FR"/>
        </w:rPr>
        <w:t>(</w:t>
      </w:r>
      <w:r w:rsidRPr="00174B2F">
        <w:rPr>
          <w:i/>
          <w:u w:val="single"/>
        </w:rPr>
        <w:t>Le Matin</w:t>
      </w:r>
      <w:r w:rsidRPr="00C57F5E">
        <w:rPr>
          <w:lang w:eastAsia="fr-FR" w:bidi="fr-FR"/>
        </w:rPr>
        <w:t>, 17 décembre 79). Par exemple, fin novembre, le baril de certains bruts (libyen, alg</w:t>
      </w:r>
      <w:r w:rsidRPr="00C57F5E">
        <w:rPr>
          <w:lang w:eastAsia="fr-FR" w:bidi="fr-FR"/>
        </w:rPr>
        <w:t>é</w:t>
      </w:r>
      <w:r w:rsidRPr="00C57F5E">
        <w:rPr>
          <w:lang w:eastAsia="fr-FR" w:bidi="fr-FR"/>
        </w:rPr>
        <w:t>rien...) est monté jusqu’à 43 dollars, assurant des surprofits importants aux spéculateurs et aux Majors qui continuent à le payer env</w:t>
      </w:r>
      <w:r w:rsidRPr="00C57F5E">
        <w:rPr>
          <w:lang w:eastAsia="fr-FR" w:bidi="fr-FR"/>
        </w:rPr>
        <w:t>i</w:t>
      </w:r>
      <w:r w:rsidRPr="00C57F5E">
        <w:rPr>
          <w:lang w:eastAsia="fr-FR" w:bidi="fr-FR"/>
        </w:rPr>
        <w:t xml:space="preserve">ron </w:t>
      </w:r>
      <w:r>
        <w:rPr>
          <w:lang w:eastAsia="fr-FR" w:bidi="fr-FR"/>
        </w:rPr>
        <w:t>$ </w:t>
      </w:r>
      <w:r w:rsidRPr="00C57F5E">
        <w:rPr>
          <w:lang w:eastAsia="fr-FR" w:bidi="fr-FR"/>
        </w:rPr>
        <w:t>26. (tableau</w:t>
      </w:r>
      <w:r>
        <w:rPr>
          <w:lang w:eastAsia="fr-FR" w:bidi="fr-FR"/>
        </w:rPr>
        <w:t> </w:t>
      </w:r>
      <w:r w:rsidRPr="00C57F5E">
        <w:rPr>
          <w:lang w:eastAsia="fr-FR" w:bidi="fr-FR"/>
        </w:rPr>
        <w:t>3)</w:t>
      </w:r>
    </w:p>
    <w:p w14:paraId="39BE6F62" w14:textId="77777777" w:rsidR="00833514" w:rsidRPr="00C57F5E" w:rsidRDefault="00833514" w:rsidP="00833514">
      <w:pPr>
        <w:spacing w:before="120" w:after="120"/>
        <w:jc w:val="both"/>
      </w:pPr>
      <w:r w:rsidRPr="00C57F5E">
        <w:rPr>
          <w:lang w:eastAsia="fr-FR" w:bidi="fr-FR"/>
        </w:rPr>
        <w:t xml:space="preserve">D’autre part, cette hausse de prix permet aux </w:t>
      </w:r>
      <w:r w:rsidRPr="00C57F5E">
        <w:t>État</w:t>
      </w:r>
      <w:r w:rsidRPr="00C57F5E">
        <w:rPr>
          <w:lang w:eastAsia="fr-FR" w:bidi="fr-FR"/>
        </w:rPr>
        <w:t>s-Unis de cont</w:t>
      </w:r>
      <w:r w:rsidRPr="00C57F5E">
        <w:rPr>
          <w:lang w:eastAsia="fr-FR" w:bidi="fr-FR"/>
        </w:rPr>
        <w:t>i</w:t>
      </w:r>
      <w:r w:rsidRPr="00C57F5E">
        <w:rPr>
          <w:lang w:eastAsia="fr-FR" w:bidi="fr-FR"/>
        </w:rPr>
        <w:t xml:space="preserve">nuer leur programme de retour à l’autonomie énergétique. En effet, </w:t>
      </w:r>
      <w:r w:rsidRPr="00C57F5E">
        <w:rPr>
          <w:lang w:eastAsia="fr-FR" w:bidi="fr-FR"/>
        </w:rPr>
        <w:lastRenderedPageBreak/>
        <w:t>comme on la dit plus haut, plus les prix exigés par l’OPEP montent, plus il devient intéressant d’exploiter les ressources énergétiques am</w:t>
      </w:r>
      <w:r w:rsidRPr="00C57F5E">
        <w:rPr>
          <w:lang w:eastAsia="fr-FR" w:bidi="fr-FR"/>
        </w:rPr>
        <w:t>é</w:t>
      </w:r>
      <w:r w:rsidRPr="00C57F5E">
        <w:rPr>
          <w:lang w:eastAsia="fr-FR" w:bidi="fr-FR"/>
        </w:rPr>
        <w:t>ricaines</w:t>
      </w:r>
      <w:r w:rsidRPr="00C57F5E">
        <w:t> ;</w:t>
      </w:r>
      <w:r w:rsidRPr="00C57F5E">
        <w:rPr>
          <w:lang w:eastAsia="fr-FR" w:bidi="fr-FR"/>
        </w:rPr>
        <w:t xml:space="preserve"> pas seulement le pétrole et le gaz, mais aussi les sables et les schistes bitumineux et bien sûr, le charbon.</w:t>
      </w:r>
    </w:p>
    <w:p w14:paraId="59C3C895" w14:textId="77777777" w:rsidR="00833514" w:rsidRDefault="00833514" w:rsidP="00833514">
      <w:pPr>
        <w:spacing w:before="120" w:after="120"/>
        <w:jc w:val="both"/>
      </w:pPr>
      <w:r>
        <w:t>[113]</w:t>
      </w:r>
    </w:p>
    <w:p w14:paraId="46F2EEFE" w14:textId="77777777" w:rsidR="00833514" w:rsidRDefault="00833514" w:rsidP="00833514">
      <w:pPr>
        <w:spacing w:before="120" w:after="120"/>
        <w:jc w:val="both"/>
      </w:pPr>
    </w:p>
    <w:p w14:paraId="70C77191" w14:textId="77777777" w:rsidR="00833514" w:rsidRPr="00174B2F" w:rsidRDefault="00833514" w:rsidP="00833514">
      <w:pPr>
        <w:pStyle w:val="figtitre"/>
      </w:pPr>
      <w:r w:rsidRPr="00174B2F">
        <w:t>TABLEAU 3</w:t>
      </w:r>
    </w:p>
    <w:p w14:paraId="2E5CCC13" w14:textId="77777777" w:rsidR="00833514" w:rsidRPr="00174B2F" w:rsidRDefault="00833514" w:rsidP="00833514">
      <w:pPr>
        <w:pStyle w:val="figtitrest"/>
      </w:pPr>
      <w:r w:rsidRPr="00174B2F">
        <w:t>Rentabilité des entreprises pétrolières</w:t>
      </w:r>
      <w:r w:rsidRPr="00174B2F">
        <w:br/>
        <w:t>en 1979</w:t>
      </w:r>
    </w:p>
    <w:tbl>
      <w:tblPr>
        <w:tblOverlap w:val="never"/>
        <w:tblW w:w="0" w:type="auto"/>
        <w:tblLayout w:type="fixed"/>
        <w:tblCellMar>
          <w:left w:w="10" w:type="dxa"/>
          <w:right w:w="10" w:type="dxa"/>
        </w:tblCellMar>
        <w:tblLook w:val="0000" w:firstRow="0" w:lastRow="0" w:firstColumn="0" w:lastColumn="0" w:noHBand="0" w:noVBand="0"/>
      </w:tblPr>
      <w:tblGrid>
        <w:gridCol w:w="2643"/>
        <w:gridCol w:w="2643"/>
        <w:gridCol w:w="2644"/>
      </w:tblGrid>
      <w:tr w:rsidR="00833514" w:rsidRPr="00174B2F" w14:paraId="499A7141" w14:textId="77777777">
        <w:tblPrEx>
          <w:tblCellMar>
            <w:top w:w="0" w:type="dxa"/>
            <w:bottom w:w="0" w:type="dxa"/>
          </w:tblCellMar>
        </w:tblPrEx>
        <w:tc>
          <w:tcPr>
            <w:tcW w:w="2643" w:type="dxa"/>
            <w:tcBorders>
              <w:top w:val="single" w:sz="8" w:space="0" w:color="auto"/>
              <w:bottom w:val="single" w:sz="8" w:space="0" w:color="auto"/>
            </w:tcBorders>
            <w:shd w:val="clear" w:color="auto" w:fill="EEECE1"/>
            <w:vAlign w:val="bottom"/>
          </w:tcPr>
          <w:p w14:paraId="390DCD3E" w14:textId="77777777" w:rsidR="00833514" w:rsidRPr="00174B2F" w:rsidRDefault="00833514" w:rsidP="00833514">
            <w:pPr>
              <w:spacing w:before="60" w:after="60"/>
              <w:ind w:left="90" w:right="103" w:firstLine="0"/>
              <w:jc w:val="both"/>
              <w:rPr>
                <w:sz w:val="24"/>
                <w:lang w:eastAsia="fr-FR" w:bidi="fr-FR"/>
              </w:rPr>
            </w:pPr>
          </w:p>
        </w:tc>
        <w:tc>
          <w:tcPr>
            <w:tcW w:w="2643" w:type="dxa"/>
            <w:tcBorders>
              <w:top w:val="single" w:sz="8" w:space="0" w:color="auto"/>
              <w:bottom w:val="single" w:sz="8" w:space="0" w:color="auto"/>
            </w:tcBorders>
            <w:shd w:val="clear" w:color="auto" w:fill="EEECE1"/>
            <w:vAlign w:val="bottom"/>
          </w:tcPr>
          <w:p w14:paraId="6187A348" w14:textId="77777777" w:rsidR="00833514" w:rsidRPr="00174B2F" w:rsidRDefault="00833514" w:rsidP="00833514">
            <w:pPr>
              <w:spacing w:before="60" w:after="60"/>
              <w:ind w:left="90" w:right="103" w:firstLine="0"/>
              <w:jc w:val="center"/>
              <w:rPr>
                <w:sz w:val="24"/>
                <w:lang w:eastAsia="fr-FR" w:bidi="fr-FR"/>
              </w:rPr>
            </w:pPr>
            <w:r w:rsidRPr="00174B2F">
              <w:rPr>
                <w:sz w:val="24"/>
                <w:lang w:eastAsia="fr-FR" w:bidi="fr-FR"/>
              </w:rPr>
              <w:t>Profits nets</w:t>
            </w:r>
            <w:r>
              <w:rPr>
                <w:sz w:val="24"/>
                <w:lang w:eastAsia="fr-FR" w:bidi="fr-FR"/>
              </w:rPr>
              <w:br/>
              <w:t>(en millions de $</w:t>
            </w:r>
            <w:r w:rsidRPr="00174B2F">
              <w:rPr>
                <w:sz w:val="24"/>
                <w:lang w:eastAsia="fr-FR" w:bidi="fr-FR"/>
              </w:rPr>
              <w:t>US)</w:t>
            </w:r>
          </w:p>
        </w:tc>
        <w:tc>
          <w:tcPr>
            <w:tcW w:w="2644" w:type="dxa"/>
            <w:tcBorders>
              <w:top w:val="single" w:sz="8" w:space="0" w:color="auto"/>
              <w:bottom w:val="single" w:sz="8" w:space="0" w:color="auto"/>
            </w:tcBorders>
            <w:shd w:val="clear" w:color="auto" w:fill="EEECE1"/>
            <w:vAlign w:val="bottom"/>
          </w:tcPr>
          <w:p w14:paraId="2B8FE03E" w14:textId="77777777" w:rsidR="00833514" w:rsidRPr="00174B2F" w:rsidRDefault="00833514" w:rsidP="00833514">
            <w:pPr>
              <w:spacing w:before="60" w:after="60"/>
              <w:ind w:left="90" w:right="103" w:firstLine="0"/>
              <w:jc w:val="center"/>
              <w:rPr>
                <w:sz w:val="24"/>
                <w:lang w:eastAsia="fr-FR" w:bidi="fr-FR"/>
              </w:rPr>
            </w:pPr>
            <w:r w:rsidRPr="00174B2F">
              <w:rPr>
                <w:sz w:val="24"/>
                <w:lang w:eastAsia="fr-FR" w:bidi="fr-FR"/>
              </w:rPr>
              <w:t>Hausse</w:t>
            </w:r>
            <w:r>
              <w:rPr>
                <w:sz w:val="24"/>
                <w:lang w:eastAsia="fr-FR" w:bidi="fr-FR"/>
              </w:rPr>
              <w:br/>
            </w:r>
            <w:r w:rsidRPr="00174B2F">
              <w:rPr>
                <w:sz w:val="24"/>
                <w:lang w:eastAsia="fr-FR" w:bidi="fr-FR"/>
              </w:rPr>
              <w:t>(1978)</w:t>
            </w:r>
          </w:p>
        </w:tc>
      </w:tr>
      <w:tr w:rsidR="00833514" w:rsidRPr="00174B2F" w14:paraId="3AA5429B" w14:textId="77777777">
        <w:tblPrEx>
          <w:tblCellMar>
            <w:top w:w="0" w:type="dxa"/>
            <w:bottom w:w="0" w:type="dxa"/>
          </w:tblCellMar>
        </w:tblPrEx>
        <w:tc>
          <w:tcPr>
            <w:tcW w:w="2643" w:type="dxa"/>
            <w:tcBorders>
              <w:top w:val="single" w:sz="8" w:space="0" w:color="auto"/>
            </w:tcBorders>
            <w:shd w:val="clear" w:color="auto" w:fill="FFFFFF"/>
            <w:vAlign w:val="bottom"/>
          </w:tcPr>
          <w:p w14:paraId="44F7B66F" w14:textId="77777777" w:rsidR="00833514" w:rsidRPr="00174B2F" w:rsidRDefault="00833514" w:rsidP="00833514">
            <w:pPr>
              <w:spacing w:before="60" w:after="60"/>
              <w:ind w:left="90" w:right="103" w:firstLine="0"/>
              <w:jc w:val="both"/>
              <w:rPr>
                <w:b/>
                <w:color w:val="FF0000"/>
                <w:sz w:val="24"/>
                <w:lang w:eastAsia="fr-FR" w:bidi="fr-FR"/>
              </w:rPr>
            </w:pPr>
            <w:r w:rsidRPr="00174B2F">
              <w:rPr>
                <w:b/>
                <w:color w:val="FF0000"/>
                <w:sz w:val="24"/>
                <w:lang w:eastAsia="fr-FR" w:bidi="fr-FR"/>
              </w:rPr>
              <w:t>États-Unis</w:t>
            </w:r>
          </w:p>
        </w:tc>
        <w:tc>
          <w:tcPr>
            <w:tcW w:w="2643" w:type="dxa"/>
            <w:tcBorders>
              <w:top w:val="single" w:sz="8" w:space="0" w:color="auto"/>
            </w:tcBorders>
            <w:shd w:val="clear" w:color="auto" w:fill="FFFFFF"/>
            <w:vAlign w:val="bottom"/>
          </w:tcPr>
          <w:p w14:paraId="6E1EA8C6" w14:textId="77777777" w:rsidR="00833514" w:rsidRPr="00174B2F" w:rsidRDefault="00833514" w:rsidP="00833514">
            <w:pPr>
              <w:spacing w:before="60" w:after="60"/>
              <w:ind w:left="90" w:right="103" w:firstLine="0"/>
              <w:jc w:val="both"/>
              <w:rPr>
                <w:sz w:val="24"/>
                <w:lang w:eastAsia="fr-FR" w:bidi="fr-FR"/>
              </w:rPr>
            </w:pPr>
          </w:p>
        </w:tc>
        <w:tc>
          <w:tcPr>
            <w:tcW w:w="2644" w:type="dxa"/>
            <w:tcBorders>
              <w:top w:val="single" w:sz="8" w:space="0" w:color="auto"/>
            </w:tcBorders>
            <w:shd w:val="clear" w:color="auto" w:fill="FFFFFF"/>
            <w:vAlign w:val="bottom"/>
          </w:tcPr>
          <w:p w14:paraId="293D95B6" w14:textId="77777777" w:rsidR="00833514" w:rsidRPr="00174B2F" w:rsidRDefault="00833514" w:rsidP="00833514">
            <w:pPr>
              <w:spacing w:before="60" w:after="60"/>
              <w:ind w:left="90" w:right="103" w:firstLine="0"/>
              <w:jc w:val="both"/>
              <w:rPr>
                <w:sz w:val="24"/>
                <w:lang w:eastAsia="fr-FR" w:bidi="fr-FR"/>
              </w:rPr>
            </w:pPr>
          </w:p>
        </w:tc>
      </w:tr>
      <w:tr w:rsidR="00833514" w:rsidRPr="00174B2F" w14:paraId="21564BB5" w14:textId="77777777">
        <w:tblPrEx>
          <w:tblCellMar>
            <w:top w:w="0" w:type="dxa"/>
            <w:bottom w:w="0" w:type="dxa"/>
          </w:tblCellMar>
        </w:tblPrEx>
        <w:tc>
          <w:tcPr>
            <w:tcW w:w="2643" w:type="dxa"/>
            <w:shd w:val="clear" w:color="auto" w:fill="FFFFFF"/>
            <w:vAlign w:val="bottom"/>
          </w:tcPr>
          <w:p w14:paraId="70F905D4"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Exxon</w:t>
            </w:r>
          </w:p>
        </w:tc>
        <w:tc>
          <w:tcPr>
            <w:tcW w:w="2643" w:type="dxa"/>
            <w:shd w:val="clear" w:color="auto" w:fill="FFFFFF"/>
            <w:vAlign w:val="bottom"/>
          </w:tcPr>
          <w:p w14:paraId="1C6187D6"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$ 4,295</w:t>
            </w:r>
          </w:p>
        </w:tc>
        <w:tc>
          <w:tcPr>
            <w:tcW w:w="2644" w:type="dxa"/>
            <w:shd w:val="clear" w:color="auto" w:fill="FFFFFF"/>
            <w:vAlign w:val="bottom"/>
          </w:tcPr>
          <w:p w14:paraId="64A4CCEB"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55%</w:t>
            </w:r>
          </w:p>
        </w:tc>
      </w:tr>
      <w:tr w:rsidR="00833514" w:rsidRPr="00174B2F" w14:paraId="5F5658F7" w14:textId="77777777">
        <w:tblPrEx>
          <w:tblCellMar>
            <w:top w:w="0" w:type="dxa"/>
            <w:bottom w:w="0" w:type="dxa"/>
          </w:tblCellMar>
        </w:tblPrEx>
        <w:tc>
          <w:tcPr>
            <w:tcW w:w="2643" w:type="dxa"/>
            <w:shd w:val="clear" w:color="auto" w:fill="FFFFFF"/>
            <w:vAlign w:val="bottom"/>
          </w:tcPr>
          <w:p w14:paraId="06A32DA8"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Mobil Oil</w:t>
            </w:r>
          </w:p>
        </w:tc>
        <w:tc>
          <w:tcPr>
            <w:tcW w:w="2643" w:type="dxa"/>
            <w:shd w:val="clear" w:color="auto" w:fill="FFFFFF"/>
            <w:vAlign w:val="bottom"/>
          </w:tcPr>
          <w:p w14:paraId="3D1B43C6"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$ 2,010</w:t>
            </w:r>
          </w:p>
        </w:tc>
        <w:tc>
          <w:tcPr>
            <w:tcW w:w="2644" w:type="dxa"/>
            <w:shd w:val="clear" w:color="auto" w:fill="FFFFFF"/>
            <w:vAlign w:val="bottom"/>
          </w:tcPr>
          <w:p w14:paraId="5A03D02E"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78%</w:t>
            </w:r>
          </w:p>
        </w:tc>
      </w:tr>
      <w:tr w:rsidR="00833514" w:rsidRPr="00174B2F" w14:paraId="18DA1B1B" w14:textId="77777777">
        <w:tblPrEx>
          <w:tblCellMar>
            <w:top w:w="0" w:type="dxa"/>
            <w:bottom w:w="0" w:type="dxa"/>
          </w:tblCellMar>
        </w:tblPrEx>
        <w:tc>
          <w:tcPr>
            <w:tcW w:w="2643" w:type="dxa"/>
            <w:shd w:val="clear" w:color="auto" w:fill="FFFFFF"/>
            <w:vAlign w:val="bottom"/>
          </w:tcPr>
          <w:p w14:paraId="0E9FD6EC"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Texaco</w:t>
            </w:r>
          </w:p>
        </w:tc>
        <w:tc>
          <w:tcPr>
            <w:tcW w:w="2643" w:type="dxa"/>
            <w:shd w:val="clear" w:color="auto" w:fill="FFFFFF"/>
            <w:vAlign w:val="bottom"/>
          </w:tcPr>
          <w:p w14:paraId="2504D163"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$ 1,785</w:t>
            </w:r>
          </w:p>
        </w:tc>
        <w:tc>
          <w:tcPr>
            <w:tcW w:w="2644" w:type="dxa"/>
            <w:shd w:val="clear" w:color="auto" w:fill="FFFFFF"/>
            <w:vAlign w:val="bottom"/>
          </w:tcPr>
          <w:p w14:paraId="44E1788A"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106%</w:t>
            </w:r>
          </w:p>
        </w:tc>
      </w:tr>
      <w:tr w:rsidR="00833514" w:rsidRPr="00174B2F" w14:paraId="520F0000" w14:textId="77777777">
        <w:tblPrEx>
          <w:tblCellMar>
            <w:top w:w="0" w:type="dxa"/>
            <w:bottom w:w="0" w:type="dxa"/>
          </w:tblCellMar>
        </w:tblPrEx>
        <w:tc>
          <w:tcPr>
            <w:tcW w:w="2643" w:type="dxa"/>
            <w:shd w:val="clear" w:color="auto" w:fill="FFFFFF"/>
            <w:vAlign w:val="bottom"/>
          </w:tcPr>
          <w:p w14:paraId="024E8D8A"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Standard Oil (Ohio)</w:t>
            </w:r>
          </w:p>
        </w:tc>
        <w:tc>
          <w:tcPr>
            <w:tcW w:w="2643" w:type="dxa"/>
            <w:shd w:val="clear" w:color="auto" w:fill="FFFFFF"/>
            <w:vAlign w:val="bottom"/>
          </w:tcPr>
          <w:p w14:paraId="1A98997D"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$ 1,186</w:t>
            </w:r>
          </w:p>
        </w:tc>
        <w:tc>
          <w:tcPr>
            <w:tcW w:w="2644" w:type="dxa"/>
            <w:shd w:val="clear" w:color="auto" w:fill="FFFFFF"/>
            <w:vAlign w:val="bottom"/>
          </w:tcPr>
          <w:p w14:paraId="6B450649"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163%</w:t>
            </w:r>
          </w:p>
        </w:tc>
      </w:tr>
      <w:tr w:rsidR="00833514" w:rsidRPr="00174B2F" w14:paraId="255C35A6" w14:textId="77777777">
        <w:tblPrEx>
          <w:tblCellMar>
            <w:top w:w="0" w:type="dxa"/>
            <w:bottom w:w="0" w:type="dxa"/>
          </w:tblCellMar>
        </w:tblPrEx>
        <w:tc>
          <w:tcPr>
            <w:tcW w:w="2643" w:type="dxa"/>
            <w:shd w:val="clear" w:color="auto" w:fill="FFFFFF"/>
            <w:vAlign w:val="bottom"/>
          </w:tcPr>
          <w:p w14:paraId="247FE5FB"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Sun Oil</w:t>
            </w:r>
          </w:p>
        </w:tc>
        <w:tc>
          <w:tcPr>
            <w:tcW w:w="2643" w:type="dxa"/>
            <w:shd w:val="clear" w:color="auto" w:fill="FFFFFF"/>
            <w:vAlign w:val="bottom"/>
          </w:tcPr>
          <w:p w14:paraId="59A689D3"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$ 700</w:t>
            </w:r>
          </w:p>
        </w:tc>
        <w:tc>
          <w:tcPr>
            <w:tcW w:w="2644" w:type="dxa"/>
            <w:shd w:val="clear" w:color="auto" w:fill="FFFFFF"/>
            <w:vAlign w:val="bottom"/>
          </w:tcPr>
          <w:p w14:paraId="650253F8"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69%</w:t>
            </w:r>
          </w:p>
        </w:tc>
      </w:tr>
      <w:tr w:rsidR="00833514" w:rsidRPr="00174B2F" w14:paraId="2711D296" w14:textId="77777777">
        <w:tblPrEx>
          <w:tblCellMar>
            <w:top w:w="0" w:type="dxa"/>
            <w:bottom w:w="0" w:type="dxa"/>
          </w:tblCellMar>
        </w:tblPrEx>
        <w:tc>
          <w:tcPr>
            <w:tcW w:w="2643" w:type="dxa"/>
            <w:shd w:val="clear" w:color="auto" w:fill="FFFFFF"/>
            <w:vAlign w:val="bottom"/>
          </w:tcPr>
          <w:p w14:paraId="5D82F200"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Gulf Oil</w:t>
            </w:r>
          </w:p>
        </w:tc>
        <w:tc>
          <w:tcPr>
            <w:tcW w:w="2643" w:type="dxa"/>
            <w:shd w:val="clear" w:color="auto" w:fill="FFFFFF"/>
            <w:vAlign w:val="bottom"/>
          </w:tcPr>
          <w:p w14:paraId="038ADBE5"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$ 1,322</w:t>
            </w:r>
          </w:p>
        </w:tc>
        <w:tc>
          <w:tcPr>
            <w:tcW w:w="2644" w:type="dxa"/>
            <w:shd w:val="clear" w:color="auto" w:fill="FFFFFF"/>
            <w:vAlign w:val="bottom"/>
          </w:tcPr>
          <w:p w14:paraId="01229745"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68%</w:t>
            </w:r>
          </w:p>
        </w:tc>
      </w:tr>
      <w:tr w:rsidR="00833514" w:rsidRPr="00174B2F" w14:paraId="4A70B7F9" w14:textId="77777777">
        <w:tblPrEx>
          <w:tblCellMar>
            <w:top w:w="0" w:type="dxa"/>
            <w:bottom w:w="0" w:type="dxa"/>
          </w:tblCellMar>
        </w:tblPrEx>
        <w:tc>
          <w:tcPr>
            <w:tcW w:w="2643" w:type="dxa"/>
            <w:shd w:val="clear" w:color="auto" w:fill="FFFFFF"/>
          </w:tcPr>
          <w:p w14:paraId="71C897E3"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Marathon Oil</w:t>
            </w:r>
          </w:p>
        </w:tc>
        <w:tc>
          <w:tcPr>
            <w:tcW w:w="2643" w:type="dxa"/>
            <w:shd w:val="clear" w:color="auto" w:fill="FFFFFF"/>
          </w:tcPr>
          <w:p w14:paraId="3777CB2D"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$ 225</w:t>
            </w:r>
          </w:p>
        </w:tc>
        <w:tc>
          <w:tcPr>
            <w:tcW w:w="2644" w:type="dxa"/>
            <w:shd w:val="clear" w:color="auto" w:fill="FFFFFF"/>
          </w:tcPr>
          <w:p w14:paraId="09BA4834" w14:textId="77777777" w:rsidR="00833514" w:rsidRPr="00174B2F" w:rsidRDefault="00833514" w:rsidP="00833514">
            <w:pPr>
              <w:spacing w:before="60" w:after="60"/>
              <w:ind w:left="777" w:right="103" w:firstLine="0"/>
              <w:jc w:val="both"/>
              <w:rPr>
                <w:sz w:val="24"/>
                <w:lang w:eastAsia="fr-FR" w:bidi="fr-FR"/>
              </w:rPr>
            </w:pPr>
            <w:r w:rsidRPr="00174B2F">
              <w:rPr>
                <w:sz w:val="24"/>
                <w:lang w:eastAsia="fr-FR" w:bidi="fr-FR"/>
              </w:rPr>
              <w:t>44%</w:t>
            </w:r>
          </w:p>
        </w:tc>
      </w:tr>
    </w:tbl>
    <w:p w14:paraId="614EB76D" w14:textId="77777777" w:rsidR="00833514" w:rsidRPr="00174B2F" w:rsidRDefault="00833514" w:rsidP="00833514">
      <w:pPr>
        <w:spacing w:before="120" w:after="120"/>
        <w:jc w:val="right"/>
        <w:rPr>
          <w:sz w:val="24"/>
          <w:lang w:eastAsia="fr-FR" w:bidi="fr-FR"/>
        </w:rPr>
      </w:pPr>
      <w:r w:rsidRPr="00174B2F">
        <w:rPr>
          <w:i/>
          <w:sz w:val="24"/>
          <w:u w:val="single"/>
          <w:lang w:eastAsia="fr-FR" w:bidi="fr-FR"/>
        </w:rPr>
        <w:t>Business Week</w:t>
      </w:r>
      <w:r w:rsidRPr="00174B2F">
        <w:rPr>
          <w:sz w:val="24"/>
          <w:lang w:eastAsia="fr-FR" w:bidi="fr-FR"/>
        </w:rPr>
        <w:t>,</w:t>
      </w:r>
      <w:r w:rsidRPr="00174B2F">
        <w:rPr>
          <w:sz w:val="24"/>
        </w:rPr>
        <w:t xml:space="preserve"> March 17</w:t>
      </w:r>
    </w:p>
    <w:p w14:paraId="23DFC6FD" w14:textId="77777777" w:rsidR="00833514" w:rsidRPr="00174B2F" w:rsidRDefault="00833514" w:rsidP="00833514">
      <w:pPr>
        <w:spacing w:before="120" w:after="120"/>
        <w:jc w:val="both"/>
        <w:rPr>
          <w:sz w:val="24"/>
          <w:lang w:eastAsia="fr-FR" w:bidi="fr-FR"/>
        </w:rPr>
      </w:pPr>
    </w:p>
    <w:tbl>
      <w:tblPr>
        <w:tblOverlap w:val="never"/>
        <w:tblW w:w="0" w:type="auto"/>
        <w:tblLayout w:type="fixed"/>
        <w:tblCellMar>
          <w:left w:w="10" w:type="dxa"/>
          <w:right w:w="10" w:type="dxa"/>
        </w:tblCellMar>
        <w:tblLook w:val="0000" w:firstRow="0" w:lastRow="0" w:firstColumn="0" w:lastColumn="0" w:noHBand="0" w:noVBand="0"/>
      </w:tblPr>
      <w:tblGrid>
        <w:gridCol w:w="2643"/>
        <w:gridCol w:w="2643"/>
        <w:gridCol w:w="2644"/>
      </w:tblGrid>
      <w:tr w:rsidR="00833514" w:rsidRPr="00174B2F" w14:paraId="4AE20BB9" w14:textId="77777777">
        <w:tblPrEx>
          <w:tblCellMar>
            <w:top w:w="0" w:type="dxa"/>
            <w:bottom w:w="0" w:type="dxa"/>
          </w:tblCellMar>
        </w:tblPrEx>
        <w:tc>
          <w:tcPr>
            <w:tcW w:w="2643" w:type="dxa"/>
            <w:tcBorders>
              <w:top w:val="single" w:sz="8" w:space="0" w:color="auto"/>
            </w:tcBorders>
            <w:shd w:val="clear" w:color="auto" w:fill="FFFFFF"/>
            <w:vAlign w:val="bottom"/>
          </w:tcPr>
          <w:p w14:paraId="5AE18B16" w14:textId="77777777" w:rsidR="00833514" w:rsidRPr="00535D9A" w:rsidRDefault="00833514" w:rsidP="00833514">
            <w:pPr>
              <w:spacing w:before="60" w:after="60"/>
              <w:ind w:left="90" w:right="103" w:firstLine="0"/>
              <w:jc w:val="both"/>
              <w:rPr>
                <w:b/>
                <w:color w:val="FF0000"/>
                <w:sz w:val="24"/>
                <w:lang w:eastAsia="fr-FR" w:bidi="fr-FR"/>
              </w:rPr>
            </w:pPr>
            <w:r w:rsidRPr="00535D9A">
              <w:rPr>
                <w:b/>
                <w:color w:val="FF0000"/>
                <w:sz w:val="24"/>
                <w:lang w:eastAsia="fr-FR" w:bidi="fr-FR"/>
              </w:rPr>
              <w:t>Canada</w:t>
            </w:r>
          </w:p>
        </w:tc>
        <w:tc>
          <w:tcPr>
            <w:tcW w:w="2643" w:type="dxa"/>
            <w:tcBorders>
              <w:top w:val="single" w:sz="8" w:space="0" w:color="auto"/>
            </w:tcBorders>
            <w:shd w:val="clear" w:color="auto" w:fill="FFFFFF"/>
            <w:vAlign w:val="bottom"/>
          </w:tcPr>
          <w:p w14:paraId="19A1A728" w14:textId="77777777" w:rsidR="00833514" w:rsidRPr="00174B2F" w:rsidRDefault="00833514" w:rsidP="00833514">
            <w:pPr>
              <w:spacing w:before="60" w:after="60"/>
              <w:ind w:left="777" w:right="103" w:firstLine="0"/>
              <w:jc w:val="both"/>
              <w:rPr>
                <w:sz w:val="24"/>
                <w:lang w:eastAsia="fr-FR" w:bidi="fr-FR"/>
              </w:rPr>
            </w:pPr>
          </w:p>
        </w:tc>
        <w:tc>
          <w:tcPr>
            <w:tcW w:w="2644" w:type="dxa"/>
            <w:tcBorders>
              <w:top w:val="single" w:sz="8" w:space="0" w:color="auto"/>
            </w:tcBorders>
            <w:shd w:val="clear" w:color="auto" w:fill="FFFFFF"/>
            <w:vAlign w:val="bottom"/>
          </w:tcPr>
          <w:p w14:paraId="69966D0A" w14:textId="77777777" w:rsidR="00833514" w:rsidRPr="00174B2F" w:rsidRDefault="00833514" w:rsidP="00833514">
            <w:pPr>
              <w:spacing w:before="60" w:after="60"/>
              <w:ind w:left="777" w:right="103" w:firstLine="0"/>
              <w:jc w:val="both"/>
              <w:rPr>
                <w:sz w:val="24"/>
                <w:lang w:eastAsia="fr-FR" w:bidi="fr-FR"/>
              </w:rPr>
            </w:pPr>
          </w:p>
        </w:tc>
      </w:tr>
      <w:tr w:rsidR="00833514" w:rsidRPr="00174B2F" w14:paraId="48B575D6" w14:textId="77777777">
        <w:tblPrEx>
          <w:tblCellMar>
            <w:top w:w="0" w:type="dxa"/>
            <w:bottom w:w="0" w:type="dxa"/>
          </w:tblCellMar>
        </w:tblPrEx>
        <w:tc>
          <w:tcPr>
            <w:tcW w:w="2643" w:type="dxa"/>
            <w:shd w:val="clear" w:color="auto" w:fill="FFFFFF"/>
            <w:vAlign w:val="bottom"/>
          </w:tcPr>
          <w:p w14:paraId="5CE8920B"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 xml:space="preserve">L’Impériale </w:t>
            </w:r>
          </w:p>
        </w:tc>
        <w:tc>
          <w:tcPr>
            <w:tcW w:w="2643" w:type="dxa"/>
            <w:shd w:val="clear" w:color="auto" w:fill="FFFFFF"/>
            <w:vAlign w:val="bottom"/>
          </w:tcPr>
          <w:p w14:paraId="6137A808"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$471</w:t>
            </w:r>
          </w:p>
        </w:tc>
        <w:tc>
          <w:tcPr>
            <w:tcW w:w="2644" w:type="dxa"/>
            <w:shd w:val="clear" w:color="auto" w:fill="FFFFFF"/>
            <w:vAlign w:val="bottom"/>
          </w:tcPr>
          <w:p w14:paraId="2F36144C"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50%</w:t>
            </w:r>
          </w:p>
        </w:tc>
      </w:tr>
      <w:tr w:rsidR="00833514" w:rsidRPr="00174B2F" w14:paraId="301B9C35" w14:textId="77777777">
        <w:tblPrEx>
          <w:tblCellMar>
            <w:top w:w="0" w:type="dxa"/>
            <w:bottom w:w="0" w:type="dxa"/>
          </w:tblCellMar>
        </w:tblPrEx>
        <w:tc>
          <w:tcPr>
            <w:tcW w:w="2643" w:type="dxa"/>
            <w:shd w:val="clear" w:color="auto" w:fill="FFFFFF"/>
            <w:vAlign w:val="bottom"/>
          </w:tcPr>
          <w:p w14:paraId="74765E7E"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 xml:space="preserve">Gulf Canada </w:t>
            </w:r>
          </w:p>
        </w:tc>
        <w:tc>
          <w:tcPr>
            <w:tcW w:w="2643" w:type="dxa"/>
            <w:shd w:val="clear" w:color="auto" w:fill="FFFFFF"/>
            <w:vAlign w:val="bottom"/>
          </w:tcPr>
          <w:p w14:paraId="7C13FA1C"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$274</w:t>
            </w:r>
          </w:p>
        </w:tc>
        <w:tc>
          <w:tcPr>
            <w:tcW w:w="2644" w:type="dxa"/>
            <w:shd w:val="clear" w:color="auto" w:fill="FFFFFF"/>
            <w:vAlign w:val="bottom"/>
          </w:tcPr>
          <w:p w14:paraId="256F0B92"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46%</w:t>
            </w:r>
          </w:p>
        </w:tc>
      </w:tr>
      <w:tr w:rsidR="00833514" w:rsidRPr="00174B2F" w14:paraId="12937045" w14:textId="77777777">
        <w:tblPrEx>
          <w:tblCellMar>
            <w:top w:w="0" w:type="dxa"/>
            <w:bottom w:w="0" w:type="dxa"/>
          </w:tblCellMar>
        </w:tblPrEx>
        <w:tc>
          <w:tcPr>
            <w:tcW w:w="2643" w:type="dxa"/>
            <w:tcBorders>
              <w:bottom w:val="single" w:sz="8" w:space="0" w:color="auto"/>
            </w:tcBorders>
            <w:shd w:val="clear" w:color="auto" w:fill="FFFFFF"/>
            <w:vAlign w:val="bottom"/>
          </w:tcPr>
          <w:p w14:paraId="2E4471A0" w14:textId="77777777" w:rsidR="00833514" w:rsidRPr="00174B2F" w:rsidRDefault="00833514" w:rsidP="00833514">
            <w:pPr>
              <w:spacing w:before="60" w:after="60"/>
              <w:ind w:left="360" w:right="103" w:firstLine="0"/>
              <w:jc w:val="both"/>
              <w:rPr>
                <w:sz w:val="24"/>
                <w:lang w:eastAsia="fr-FR" w:bidi="fr-FR"/>
              </w:rPr>
            </w:pPr>
            <w:r w:rsidRPr="00174B2F">
              <w:rPr>
                <w:sz w:val="24"/>
                <w:lang w:eastAsia="fr-FR" w:bidi="fr-FR"/>
              </w:rPr>
              <w:t>Shell Oil *</w:t>
            </w:r>
          </w:p>
        </w:tc>
        <w:tc>
          <w:tcPr>
            <w:tcW w:w="2643" w:type="dxa"/>
            <w:tcBorders>
              <w:bottom w:val="single" w:sz="8" w:space="0" w:color="auto"/>
            </w:tcBorders>
            <w:shd w:val="clear" w:color="auto" w:fill="FFFFFF"/>
            <w:vAlign w:val="bottom"/>
          </w:tcPr>
          <w:p w14:paraId="12C7CED6"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$256</w:t>
            </w:r>
          </w:p>
        </w:tc>
        <w:tc>
          <w:tcPr>
            <w:tcW w:w="2644" w:type="dxa"/>
            <w:tcBorders>
              <w:bottom w:val="single" w:sz="8" w:space="0" w:color="auto"/>
            </w:tcBorders>
            <w:shd w:val="clear" w:color="auto" w:fill="FFFFFF"/>
            <w:vAlign w:val="bottom"/>
          </w:tcPr>
          <w:p w14:paraId="165694B4" w14:textId="77777777" w:rsidR="00833514" w:rsidRPr="00174B2F" w:rsidRDefault="00833514" w:rsidP="00833514">
            <w:pPr>
              <w:spacing w:before="60" w:after="60"/>
              <w:ind w:left="777" w:right="103" w:firstLine="0"/>
              <w:jc w:val="both"/>
              <w:rPr>
                <w:sz w:val="24"/>
                <w:lang w:eastAsia="fr-FR" w:bidi="fr-FR"/>
              </w:rPr>
            </w:pPr>
            <w:r>
              <w:rPr>
                <w:sz w:val="24"/>
                <w:lang w:eastAsia="fr-FR" w:bidi="fr-FR"/>
              </w:rPr>
              <w:t>73%</w:t>
            </w:r>
          </w:p>
        </w:tc>
      </w:tr>
    </w:tbl>
    <w:p w14:paraId="3D46C75B" w14:textId="77777777" w:rsidR="00833514" w:rsidRPr="00535D9A" w:rsidRDefault="00833514" w:rsidP="00833514">
      <w:pPr>
        <w:spacing w:before="120" w:after="120"/>
        <w:jc w:val="right"/>
        <w:rPr>
          <w:rStyle w:val="Corpsdutexte1185ptNonItaliqueEspacement0pt"/>
          <w:i w:val="0"/>
          <w:iCs w:val="0"/>
          <w:sz w:val="24"/>
        </w:rPr>
      </w:pPr>
      <w:r>
        <w:rPr>
          <w:rStyle w:val="Corpsdutexte1185ptNonItaliqueEspacement0pt"/>
          <w:iCs w:val="0"/>
          <w:sz w:val="24"/>
        </w:rPr>
        <w:t>Le Devoir</w:t>
      </w:r>
      <w:r>
        <w:rPr>
          <w:rStyle w:val="Corpsdutexte1185ptNonItaliqueEspacement0pt"/>
          <w:i w:val="0"/>
          <w:iCs w:val="0"/>
          <w:sz w:val="24"/>
        </w:rPr>
        <w:t>, 5 février 1980.</w:t>
      </w:r>
    </w:p>
    <w:p w14:paraId="5F5AC20D" w14:textId="77777777" w:rsidR="00833514" w:rsidRPr="00174B2F" w:rsidRDefault="00833514" w:rsidP="00833514">
      <w:pPr>
        <w:spacing w:before="120" w:after="120"/>
        <w:jc w:val="both"/>
        <w:rPr>
          <w:sz w:val="24"/>
        </w:rPr>
      </w:pPr>
      <w:r w:rsidRPr="00174B2F">
        <w:rPr>
          <w:rStyle w:val="Corpsdutexte1185ptNonItaliqueEspacement0pt"/>
          <w:i w:val="0"/>
          <w:iCs w:val="0"/>
          <w:sz w:val="24"/>
        </w:rPr>
        <w:t xml:space="preserve">* </w:t>
      </w:r>
      <w:r w:rsidRPr="00174B2F">
        <w:rPr>
          <w:sz w:val="24"/>
          <w:lang w:eastAsia="fr-FR" w:bidi="fr-FR"/>
        </w:rPr>
        <w:t>Shell a été en 1979 la compagnie pétrolière qui a fait le plus de profits</w:t>
      </w:r>
      <w:r w:rsidRPr="00174B2F">
        <w:rPr>
          <w:sz w:val="24"/>
        </w:rPr>
        <w:t> :</w:t>
      </w:r>
      <w:r w:rsidRPr="00174B2F">
        <w:rPr>
          <w:sz w:val="24"/>
          <w:lang w:eastAsia="fr-FR" w:bidi="fr-FR"/>
        </w:rPr>
        <w:t xml:space="preserve"> 6 milliards à l’échelle mondiale. Exxon se situe au 2</w:t>
      </w:r>
      <w:r w:rsidRPr="00535D9A">
        <w:rPr>
          <w:sz w:val="24"/>
          <w:vertAlign w:val="superscript"/>
          <w:lang w:eastAsia="fr-FR" w:bidi="fr-FR"/>
        </w:rPr>
        <w:t>e</w:t>
      </w:r>
      <w:r w:rsidRPr="00174B2F">
        <w:rPr>
          <w:sz w:val="24"/>
          <w:lang w:eastAsia="fr-FR" w:bidi="fr-FR"/>
        </w:rPr>
        <w:t xml:space="preserve"> rang avec 4,295 millions de do</w:t>
      </w:r>
      <w:r w:rsidRPr="00174B2F">
        <w:rPr>
          <w:sz w:val="24"/>
          <w:lang w:eastAsia="fr-FR" w:bidi="fr-FR"/>
        </w:rPr>
        <w:t>l</w:t>
      </w:r>
      <w:r w:rsidRPr="00174B2F">
        <w:rPr>
          <w:sz w:val="24"/>
          <w:lang w:eastAsia="fr-FR" w:bidi="fr-FR"/>
        </w:rPr>
        <w:t>lars US.</w:t>
      </w:r>
    </w:p>
    <w:p w14:paraId="37D35E51" w14:textId="77777777" w:rsidR="00833514" w:rsidRPr="00C57F5E" w:rsidRDefault="00833514" w:rsidP="00833514">
      <w:pPr>
        <w:spacing w:before="120" w:after="120"/>
        <w:jc w:val="both"/>
      </w:pPr>
      <w:r>
        <w:rPr>
          <w:lang w:eastAsia="fr-FR" w:bidi="fr-FR"/>
        </w:rPr>
        <w:br w:type="page"/>
      </w:r>
      <w:r w:rsidRPr="00C57F5E">
        <w:rPr>
          <w:lang w:eastAsia="fr-FR" w:bidi="fr-FR"/>
        </w:rPr>
        <w:lastRenderedPageBreak/>
        <w:t>Pourtant, deux éléments demeurent préoccupants pour le capit</w:t>
      </w:r>
      <w:r w:rsidRPr="00C57F5E">
        <w:rPr>
          <w:lang w:eastAsia="fr-FR" w:bidi="fr-FR"/>
        </w:rPr>
        <w:t>a</w:t>
      </w:r>
      <w:r w:rsidRPr="00C57F5E">
        <w:rPr>
          <w:lang w:eastAsia="fr-FR" w:bidi="fr-FR"/>
        </w:rPr>
        <w:t>lisme américain</w:t>
      </w:r>
      <w:r w:rsidRPr="00C57F5E">
        <w:t> :</w:t>
      </w:r>
    </w:p>
    <w:p w14:paraId="42D60AFD" w14:textId="77777777" w:rsidR="00833514" w:rsidRPr="00C57F5E" w:rsidRDefault="00833514" w:rsidP="00833514">
      <w:pPr>
        <w:spacing w:before="120" w:after="120"/>
        <w:jc w:val="both"/>
      </w:pPr>
      <w:r w:rsidRPr="00C57F5E">
        <w:rPr>
          <w:lang w:eastAsia="fr-FR" w:bidi="fr-FR"/>
        </w:rPr>
        <w:t>1) En 1973, les américains importaient 161 millions de to</w:t>
      </w:r>
      <w:r w:rsidRPr="00C57F5E">
        <w:rPr>
          <w:lang w:eastAsia="fr-FR" w:bidi="fr-FR"/>
        </w:rPr>
        <w:t>n</w:t>
      </w:r>
      <w:r w:rsidRPr="00C57F5E">
        <w:rPr>
          <w:lang w:eastAsia="fr-FR" w:bidi="fr-FR"/>
        </w:rPr>
        <w:t>nes de pétrole pour une valeur de 38,5 milliards de dollars. En 1979, ils en ont importé plus de 400 millions</w:t>
      </w:r>
      <w:r w:rsidRPr="00C57F5E">
        <w:t> !</w:t>
      </w:r>
      <w:r w:rsidRPr="00C57F5E">
        <w:rPr>
          <w:lang w:eastAsia="fr-FR" w:bidi="fr-FR"/>
        </w:rPr>
        <w:t xml:space="preserve"> Leur consomm</w:t>
      </w:r>
      <w:r w:rsidRPr="00C57F5E">
        <w:rPr>
          <w:lang w:eastAsia="fr-FR" w:bidi="fr-FR"/>
        </w:rPr>
        <w:t>a</w:t>
      </w:r>
      <w:r w:rsidRPr="00C57F5E">
        <w:rPr>
          <w:lang w:eastAsia="fr-FR" w:bidi="fr-FR"/>
        </w:rPr>
        <w:t xml:space="preserve">tion par habitant est de 30,8 barils par année contre 17,2 en RFA, 15,3 barils en France, et 12,4 barils en Grande-Bretagne </w:t>
      </w:r>
      <w:r>
        <w:rPr>
          <w:lang w:eastAsia="fr-FR" w:bidi="fr-FR"/>
        </w:rPr>
        <w:t>(</w:t>
      </w:r>
      <w:r w:rsidRPr="00174B2F">
        <w:rPr>
          <w:i/>
          <w:u w:val="single"/>
        </w:rPr>
        <w:t>Le Monde diplomatique</w:t>
      </w:r>
      <w:r w:rsidRPr="00C57F5E">
        <w:t>,</w:t>
      </w:r>
      <w:r w:rsidRPr="00C57F5E">
        <w:rPr>
          <w:lang w:eastAsia="fr-FR" w:bidi="fr-FR"/>
        </w:rPr>
        <w:t xml:space="preserve"> août 1979).</w:t>
      </w:r>
    </w:p>
    <w:p w14:paraId="28706347" w14:textId="77777777" w:rsidR="00833514" w:rsidRDefault="00833514" w:rsidP="00833514">
      <w:pPr>
        <w:spacing w:before="120" w:after="120"/>
        <w:jc w:val="both"/>
      </w:pPr>
      <w:r>
        <w:t>[114]</w:t>
      </w:r>
    </w:p>
    <w:p w14:paraId="7A9D6CB0" w14:textId="77777777" w:rsidR="00833514" w:rsidRPr="00C57F5E" w:rsidRDefault="00833514" w:rsidP="00833514">
      <w:pPr>
        <w:spacing w:before="120" w:after="120"/>
        <w:jc w:val="both"/>
      </w:pPr>
      <w:r w:rsidRPr="00C57F5E">
        <w:rPr>
          <w:lang w:eastAsia="fr-FR" w:bidi="fr-FR"/>
        </w:rPr>
        <w:t>Leur balance des paiements est passée d’un excédent de 911 mi</w:t>
      </w:r>
      <w:r w:rsidRPr="00C57F5E">
        <w:rPr>
          <w:lang w:eastAsia="fr-FR" w:bidi="fr-FR"/>
        </w:rPr>
        <w:t>l</w:t>
      </w:r>
      <w:r w:rsidRPr="00C57F5E">
        <w:rPr>
          <w:lang w:eastAsia="fr-FR" w:bidi="fr-FR"/>
        </w:rPr>
        <w:t>lions de dollars en 1973 à un déficit de 16 milliards en 1978. On co</w:t>
      </w:r>
      <w:r w:rsidRPr="00C57F5E">
        <w:rPr>
          <w:lang w:eastAsia="fr-FR" w:bidi="fr-FR"/>
        </w:rPr>
        <w:t>m</w:t>
      </w:r>
      <w:r w:rsidRPr="00C57F5E">
        <w:rPr>
          <w:lang w:eastAsia="fr-FR" w:bidi="fr-FR"/>
        </w:rPr>
        <w:t>prend alors la nécessité de restreindre la consomm</w:t>
      </w:r>
      <w:r>
        <w:rPr>
          <w:lang w:eastAsia="fr-FR" w:bidi="fr-FR"/>
        </w:rPr>
        <w:t>a</w:t>
      </w:r>
      <w:r w:rsidRPr="00C57F5E">
        <w:rPr>
          <w:lang w:eastAsia="fr-FR" w:bidi="fr-FR"/>
        </w:rPr>
        <w:t>tion d’énergie, d’accélérer l’exploration de nouveaux puits (en 1980, 54</w:t>
      </w:r>
      <w:r>
        <w:rPr>
          <w:lang w:eastAsia="fr-FR" w:bidi="fr-FR"/>
        </w:rPr>
        <w:t> </w:t>
      </w:r>
      <w:r w:rsidRPr="00C57F5E">
        <w:rPr>
          <w:lang w:eastAsia="fr-FR" w:bidi="fr-FR"/>
        </w:rPr>
        <w:t>000 forages sont prévus, le chiffre le plus élevé depuis 1957) et d’accentuer la r</w:t>
      </w:r>
      <w:r w:rsidRPr="00C57F5E">
        <w:rPr>
          <w:lang w:eastAsia="fr-FR" w:bidi="fr-FR"/>
        </w:rPr>
        <w:t>e</w:t>
      </w:r>
      <w:r w:rsidRPr="00C57F5E">
        <w:rPr>
          <w:lang w:eastAsia="fr-FR" w:bidi="fr-FR"/>
        </w:rPr>
        <w:t>cherche de ressources alternatives au pétrole. C’est dans ce contexte qu’on doit comprendre le plan annoncé par Carter en juillet prévoyant des plafonds pour les importations, un effort national pour la prom</w:t>
      </w:r>
      <w:r w:rsidRPr="00C57F5E">
        <w:rPr>
          <w:lang w:eastAsia="fr-FR" w:bidi="fr-FR"/>
        </w:rPr>
        <w:t>o</w:t>
      </w:r>
      <w:r w:rsidRPr="00C57F5E">
        <w:rPr>
          <w:lang w:eastAsia="fr-FR" w:bidi="fr-FR"/>
        </w:rPr>
        <w:t>tion des carburants synthétiques et l’instauration d’un impôt sur les surprofits des compagnies. Malgré l’aspect très idéologique d’un tel programme, il n’en demeure pas moins pour le capit</w:t>
      </w:r>
      <w:r w:rsidRPr="00C57F5E">
        <w:rPr>
          <w:lang w:eastAsia="fr-FR" w:bidi="fr-FR"/>
        </w:rPr>
        <w:t>a</w:t>
      </w:r>
      <w:r w:rsidRPr="00C57F5E">
        <w:rPr>
          <w:lang w:eastAsia="fr-FR" w:bidi="fr-FR"/>
        </w:rPr>
        <w:t xml:space="preserve">lisme américain que les particuliers devront </w:t>
      </w:r>
      <w:r w:rsidRPr="00535D9A">
        <w:rPr>
          <w:i/>
        </w:rPr>
        <w:t>restreindre leur consommation</w:t>
      </w:r>
      <w:r w:rsidRPr="00C57F5E">
        <w:rPr>
          <w:lang w:eastAsia="fr-FR" w:bidi="fr-FR"/>
        </w:rPr>
        <w:t xml:space="preserve"> de pétrole et subir des hausses importantes de prix.</w:t>
      </w:r>
    </w:p>
    <w:p w14:paraId="045F8A3C" w14:textId="77777777" w:rsidR="00833514" w:rsidRPr="00C57F5E" w:rsidRDefault="00833514" w:rsidP="00833514">
      <w:pPr>
        <w:spacing w:before="120" w:after="120"/>
        <w:jc w:val="both"/>
      </w:pPr>
      <w:r w:rsidRPr="00C57F5E">
        <w:rPr>
          <w:lang w:eastAsia="fr-FR" w:bidi="fr-FR"/>
        </w:rPr>
        <w:t>2) Il est clair que toute la stratégie américaine est basée sur une hausse perm</w:t>
      </w:r>
      <w:r>
        <w:rPr>
          <w:lang w:eastAsia="fr-FR" w:bidi="fr-FR"/>
        </w:rPr>
        <w:t>a</w:t>
      </w:r>
      <w:r w:rsidRPr="00C57F5E">
        <w:rPr>
          <w:lang w:eastAsia="fr-FR" w:bidi="fr-FR"/>
        </w:rPr>
        <w:t xml:space="preserve">nente du prix du pétrole. Mais pour qu’une telle stratégie soit efficace </w:t>
      </w:r>
      <w:r w:rsidRPr="00535D9A">
        <w:rPr>
          <w:i/>
          <w:lang w:eastAsia="fr-FR" w:bidi="fr-FR"/>
        </w:rPr>
        <w:t xml:space="preserve">ces </w:t>
      </w:r>
      <w:r w:rsidRPr="00535D9A">
        <w:rPr>
          <w:i/>
        </w:rPr>
        <w:t>hausses doivent être graduelles et modérées</w:t>
      </w:r>
      <w:r w:rsidRPr="00C57F5E">
        <w:rPr>
          <w:lang w:eastAsia="fr-FR" w:bidi="fr-FR"/>
        </w:rPr>
        <w:t xml:space="preserve"> pour permettre une restructuration en douceur de l’économie américaine. Il ne faut pas oublier que les États-Unis ont connu un taux d’inflation de 18</w:t>
      </w:r>
      <w:r>
        <w:rPr>
          <w:lang w:eastAsia="fr-FR" w:bidi="fr-FR"/>
        </w:rPr>
        <w:t>%</w:t>
      </w:r>
      <w:r w:rsidRPr="00C57F5E">
        <w:rPr>
          <w:lang w:eastAsia="fr-FR" w:bidi="fr-FR"/>
        </w:rPr>
        <w:t xml:space="preserve"> en 1979 et qu’on prévoit qu’il sera de 20</w:t>
      </w:r>
      <w:r>
        <w:rPr>
          <w:lang w:eastAsia="fr-FR" w:bidi="fr-FR"/>
        </w:rPr>
        <w:t>%</w:t>
      </w:r>
      <w:r w:rsidRPr="00C57F5E">
        <w:rPr>
          <w:lang w:eastAsia="fr-FR" w:bidi="fr-FR"/>
        </w:rPr>
        <w:t xml:space="preserve"> en 1980. Dans un contexte de perturbations monétaires, une hausse brusque des prix des produits pétroliers peut avoir un effet inflatio</w:t>
      </w:r>
      <w:r>
        <w:rPr>
          <w:lang w:eastAsia="fr-FR" w:bidi="fr-FR"/>
        </w:rPr>
        <w:t>n</w:t>
      </w:r>
      <w:r w:rsidRPr="00C57F5E">
        <w:rPr>
          <w:lang w:eastAsia="fr-FR" w:bidi="fr-FR"/>
        </w:rPr>
        <w:t>niste incontrôlable et forcer des pol</w:t>
      </w:r>
      <w:r w:rsidRPr="00C57F5E">
        <w:rPr>
          <w:lang w:eastAsia="fr-FR" w:bidi="fr-FR"/>
        </w:rPr>
        <w:t>i</w:t>
      </w:r>
      <w:r w:rsidRPr="00C57F5E">
        <w:rPr>
          <w:lang w:eastAsia="fr-FR" w:bidi="fr-FR"/>
        </w:rPr>
        <w:t>tiques monétaires restrictives à la fois néfastes pour l’économie et indésirables dans une période d’élection présidentielle.</w:t>
      </w:r>
    </w:p>
    <w:p w14:paraId="6046E1A8" w14:textId="77777777" w:rsidR="00833514" w:rsidRPr="00C57F5E" w:rsidRDefault="00833514" w:rsidP="00833514">
      <w:pPr>
        <w:spacing w:before="120" w:after="120"/>
        <w:jc w:val="both"/>
      </w:pPr>
      <w:r w:rsidRPr="00C57F5E">
        <w:rPr>
          <w:lang w:eastAsia="fr-FR" w:bidi="fr-FR"/>
        </w:rPr>
        <w:t>Or, il ne semble pas que les pays de l’OPEP dans leur maj</w:t>
      </w:r>
      <w:r w:rsidRPr="00C57F5E">
        <w:rPr>
          <w:lang w:eastAsia="fr-FR" w:bidi="fr-FR"/>
        </w:rPr>
        <w:t>o</w:t>
      </w:r>
      <w:r w:rsidRPr="00C57F5E">
        <w:rPr>
          <w:lang w:eastAsia="fr-FR" w:bidi="fr-FR"/>
        </w:rPr>
        <w:t xml:space="preserve">rité s’orientent dans cette direction, particulièrement depuis la révolution islamique en Iran. Actuellement, les hausses de prix du pétrole ne sont pas uniformes, mais à terme, la survie de l’OPEP exige que les pays membres reviennent à un barême uniforme. </w:t>
      </w:r>
      <w:r w:rsidRPr="00535D9A">
        <w:rPr>
          <w:i/>
        </w:rPr>
        <w:t>Dans quel sens se fera cette uniformisation ?</w:t>
      </w:r>
    </w:p>
    <w:p w14:paraId="1A4BDD46" w14:textId="77777777" w:rsidR="00833514" w:rsidRPr="00C57F5E" w:rsidRDefault="00833514" w:rsidP="00833514">
      <w:pPr>
        <w:spacing w:before="120" w:after="120"/>
        <w:jc w:val="both"/>
      </w:pPr>
      <w:r w:rsidRPr="00C57F5E">
        <w:rPr>
          <w:lang w:eastAsia="fr-FR" w:bidi="fr-FR"/>
        </w:rPr>
        <w:lastRenderedPageBreak/>
        <w:t>Les pays capitalistes avancés désirent que celle-ci se fasse dans la modération. Pour faire pression, ils ont décidé au so</w:t>
      </w:r>
      <w:r w:rsidRPr="00C57F5E">
        <w:rPr>
          <w:lang w:eastAsia="fr-FR" w:bidi="fr-FR"/>
        </w:rPr>
        <w:t>m</w:t>
      </w:r>
      <w:r w:rsidRPr="00C57F5E">
        <w:rPr>
          <w:lang w:eastAsia="fr-FR" w:bidi="fr-FR"/>
        </w:rPr>
        <w:t>ment de Tokyo (29 juin 1979) de limiter leurs importations de pétrole et ainsi faire planer la menace d’une surproduction pour les pays de l’OPEP. Cette menace de réduire les importations est d’autant plus facile à prodiguer</w:t>
      </w:r>
      <w:r>
        <w:t xml:space="preserve"> [115] </w:t>
      </w:r>
      <w:r w:rsidRPr="00C57F5E">
        <w:rPr>
          <w:lang w:eastAsia="fr-FR" w:bidi="fr-FR"/>
        </w:rPr>
        <w:t>que d’importants ralentissements de la croissance économ</w:t>
      </w:r>
      <w:r w:rsidRPr="00C57F5E">
        <w:rPr>
          <w:lang w:eastAsia="fr-FR" w:bidi="fr-FR"/>
        </w:rPr>
        <w:t>i</w:t>
      </w:r>
      <w:r w:rsidRPr="00C57F5E">
        <w:rPr>
          <w:lang w:eastAsia="fr-FR" w:bidi="fr-FR"/>
        </w:rPr>
        <w:t>que des pays impérialistes sont prévisibles pour 1980-81</w:t>
      </w:r>
      <w:r>
        <w:t> </w:t>
      </w:r>
      <w:r>
        <w:rPr>
          <w:rStyle w:val="Appelnotedebasdep"/>
        </w:rPr>
        <w:footnoteReference w:id="11"/>
      </w:r>
      <w:r w:rsidRPr="00C57F5E">
        <w:rPr>
          <w:lang w:eastAsia="fr-FR" w:bidi="fr-FR"/>
        </w:rPr>
        <w:t>.</w:t>
      </w:r>
    </w:p>
    <w:p w14:paraId="6B7487D7" w14:textId="77777777" w:rsidR="00833514" w:rsidRPr="00C57F5E" w:rsidRDefault="00833514" w:rsidP="00833514">
      <w:pPr>
        <w:spacing w:before="120" w:after="120"/>
        <w:jc w:val="both"/>
      </w:pPr>
      <w:r w:rsidRPr="00C57F5E">
        <w:rPr>
          <w:lang w:eastAsia="fr-FR" w:bidi="fr-FR"/>
        </w:rPr>
        <w:t xml:space="preserve">Finalement, le </w:t>
      </w:r>
      <w:r w:rsidRPr="00535D9A">
        <w:rPr>
          <w:i/>
        </w:rPr>
        <w:t>vrai problème</w:t>
      </w:r>
      <w:r w:rsidRPr="00C57F5E">
        <w:rPr>
          <w:lang w:eastAsia="fr-FR" w:bidi="fr-FR"/>
        </w:rPr>
        <w:t xml:space="preserve"> pour le capitalisme américain se situe dans</w:t>
      </w:r>
      <w:r>
        <w:rPr>
          <w:lang w:eastAsia="fr-FR" w:bidi="fr-FR"/>
        </w:rPr>
        <w:t xml:space="preserve"> </w:t>
      </w:r>
      <w:r w:rsidRPr="00535D9A">
        <w:rPr>
          <w:i/>
          <w:lang w:eastAsia="fr-FR" w:bidi="fr-FR"/>
        </w:rPr>
        <w:t>l’</w:t>
      </w:r>
      <w:r w:rsidRPr="00535D9A">
        <w:rPr>
          <w:i/>
        </w:rPr>
        <w:t>existence même des marchés libres</w:t>
      </w:r>
      <w:r w:rsidRPr="00C57F5E">
        <w:t xml:space="preserve"> </w:t>
      </w:r>
      <w:r w:rsidRPr="00C57F5E">
        <w:rPr>
          <w:lang w:eastAsia="fr-FR" w:bidi="fr-FR"/>
        </w:rPr>
        <w:t>de Rotterdam, des Bah</w:t>
      </w:r>
      <w:r w:rsidRPr="00C57F5E">
        <w:rPr>
          <w:lang w:eastAsia="fr-FR" w:bidi="fr-FR"/>
        </w:rPr>
        <w:t>a</w:t>
      </w:r>
      <w:r w:rsidRPr="00C57F5E">
        <w:rPr>
          <w:lang w:eastAsia="fr-FR" w:bidi="fr-FR"/>
        </w:rPr>
        <w:t>mas, et du Japon. En effet, si les compagnies trouvent sur ces marchés de bonnes occasions de faire des su</w:t>
      </w:r>
      <w:r w:rsidRPr="00C57F5E">
        <w:rPr>
          <w:lang w:eastAsia="fr-FR" w:bidi="fr-FR"/>
        </w:rPr>
        <w:t>r</w:t>
      </w:r>
      <w:r w:rsidRPr="00C57F5E">
        <w:rPr>
          <w:lang w:eastAsia="fr-FR" w:bidi="fr-FR"/>
        </w:rPr>
        <w:t>profits, il n’en demeure pas moins que la flambée des prix sur ces marchés (jusqu’à 42 dollars) est une preuve pour les États pétroliers que les acheteurs sont prêts à payer plus et les incite à aligner leur prix à la hausse.</w:t>
      </w:r>
    </w:p>
    <w:p w14:paraId="708C32E5" w14:textId="77777777" w:rsidR="00833514" w:rsidRDefault="00833514" w:rsidP="00833514">
      <w:pPr>
        <w:spacing w:before="120" w:after="120"/>
        <w:jc w:val="both"/>
        <w:rPr>
          <w:lang w:eastAsia="fr-FR" w:bidi="fr-FR"/>
        </w:rPr>
      </w:pPr>
    </w:p>
    <w:p w14:paraId="4D897BB1" w14:textId="77777777" w:rsidR="00833514" w:rsidRPr="00C57F5E" w:rsidRDefault="00833514" w:rsidP="00833514">
      <w:pPr>
        <w:pStyle w:val="a"/>
      </w:pPr>
      <w:r w:rsidRPr="00C57F5E">
        <w:rPr>
          <w:lang w:eastAsia="fr-FR" w:bidi="fr-FR"/>
        </w:rPr>
        <w:t>Le problème du pétrole au Canada</w:t>
      </w:r>
    </w:p>
    <w:p w14:paraId="2E5B22EC" w14:textId="77777777" w:rsidR="00833514" w:rsidRDefault="00833514" w:rsidP="00833514">
      <w:pPr>
        <w:spacing w:before="120" w:after="120"/>
        <w:jc w:val="both"/>
        <w:rPr>
          <w:lang w:eastAsia="fr-FR" w:bidi="fr-FR"/>
        </w:rPr>
      </w:pPr>
    </w:p>
    <w:p w14:paraId="7957879B" w14:textId="77777777" w:rsidR="00833514" w:rsidRPr="00C57F5E" w:rsidRDefault="00833514" w:rsidP="00833514">
      <w:pPr>
        <w:spacing w:before="120" w:after="120"/>
        <w:jc w:val="both"/>
      </w:pPr>
      <w:r w:rsidRPr="00C57F5E">
        <w:rPr>
          <w:lang w:eastAsia="fr-FR" w:bidi="fr-FR"/>
        </w:rPr>
        <w:t>(Dans le cadre de cet article, il ne s’agira que de mettre en évide</w:t>
      </w:r>
      <w:r w:rsidRPr="00C57F5E">
        <w:rPr>
          <w:lang w:eastAsia="fr-FR" w:bidi="fr-FR"/>
        </w:rPr>
        <w:t>n</w:t>
      </w:r>
      <w:r w:rsidRPr="00C57F5E">
        <w:rPr>
          <w:lang w:eastAsia="fr-FR" w:bidi="fr-FR"/>
        </w:rPr>
        <w:t>ce certains faits)</w:t>
      </w:r>
    </w:p>
    <w:p w14:paraId="2DFA3747" w14:textId="77777777" w:rsidR="00833514" w:rsidRPr="00C57F5E" w:rsidRDefault="00833514" w:rsidP="00833514">
      <w:pPr>
        <w:spacing w:before="120" w:after="120"/>
        <w:jc w:val="both"/>
      </w:pPr>
      <w:r w:rsidRPr="00C57F5E">
        <w:rPr>
          <w:lang w:eastAsia="fr-FR" w:bidi="fr-FR"/>
        </w:rPr>
        <w:t xml:space="preserve">Dans tous les pays capitalistes, </w:t>
      </w:r>
      <w:r w:rsidRPr="00535D9A">
        <w:rPr>
          <w:lang w:eastAsia="fr-FR" w:bidi="fr-FR"/>
        </w:rPr>
        <w:t>les</w:t>
      </w:r>
      <w:r w:rsidRPr="00535D9A">
        <w:rPr>
          <w:i/>
          <w:lang w:eastAsia="fr-FR" w:bidi="fr-FR"/>
        </w:rPr>
        <w:t xml:space="preserve"> </w:t>
      </w:r>
      <w:r w:rsidRPr="00535D9A">
        <w:rPr>
          <w:i/>
        </w:rPr>
        <w:t>problèmes énergétiques</w:t>
      </w:r>
      <w:r w:rsidRPr="00C57F5E">
        <w:rPr>
          <w:lang w:eastAsia="fr-FR" w:bidi="fr-FR"/>
        </w:rPr>
        <w:t xml:space="preserve"> sont au centre des débats qui visent à déterminer la stratégie qu’adoptera la bourgeoisie pour restructurer l’économie. Au Canada, ce débat s’est cristallisé autour de la </w:t>
      </w:r>
      <w:r w:rsidRPr="00535D9A">
        <w:rPr>
          <w:i/>
        </w:rPr>
        <w:t>question du prix du pétrole canadien</w:t>
      </w:r>
      <w:r w:rsidRPr="00C57F5E">
        <w:t xml:space="preserve"> </w:t>
      </w:r>
      <w:r w:rsidRPr="00C57F5E">
        <w:rPr>
          <w:lang w:eastAsia="fr-FR" w:bidi="fr-FR"/>
        </w:rPr>
        <w:t>pour la consommation intérieure. Ceci est vrai depuis l’été 1979 mais partic</w:t>
      </w:r>
      <w:r w:rsidRPr="00C57F5E">
        <w:rPr>
          <w:lang w:eastAsia="fr-FR" w:bidi="fr-FR"/>
        </w:rPr>
        <w:t>u</w:t>
      </w:r>
      <w:r w:rsidRPr="00C57F5E">
        <w:rPr>
          <w:lang w:eastAsia="fr-FR" w:bidi="fr-FR"/>
        </w:rPr>
        <w:t>lièrement lors de la dernière campagne électorale fédérale.</w:t>
      </w:r>
    </w:p>
    <w:p w14:paraId="73275CE8" w14:textId="77777777" w:rsidR="00833514" w:rsidRPr="00C57F5E" w:rsidRDefault="00833514" w:rsidP="00833514">
      <w:pPr>
        <w:spacing w:before="120" w:after="120"/>
        <w:jc w:val="both"/>
      </w:pPr>
      <w:r w:rsidRPr="00C57F5E">
        <w:rPr>
          <w:lang w:eastAsia="fr-FR" w:bidi="fr-FR"/>
        </w:rPr>
        <w:t xml:space="preserve">Ce problème important pour tous les pays qui sont à la fois des producteurs et des </w:t>
      </w:r>
      <w:r w:rsidRPr="00535D9A">
        <w:rPr>
          <w:i/>
          <w:lang w:eastAsia="fr-FR" w:bidi="fr-FR"/>
        </w:rPr>
        <w:t xml:space="preserve">importateurs de pétrole, prend au Canada une </w:t>
      </w:r>
      <w:r w:rsidRPr="00535D9A">
        <w:rPr>
          <w:i/>
        </w:rPr>
        <w:t>d</w:t>
      </w:r>
      <w:r w:rsidRPr="00535D9A">
        <w:rPr>
          <w:i/>
        </w:rPr>
        <w:t>i</w:t>
      </w:r>
      <w:r w:rsidRPr="00535D9A">
        <w:rPr>
          <w:i/>
        </w:rPr>
        <w:t>mension</w:t>
      </w:r>
      <w:r w:rsidRPr="00C57F5E">
        <w:t xml:space="preserve"> politique particulière</w:t>
      </w:r>
      <w:r w:rsidRPr="00C57F5E">
        <w:rPr>
          <w:lang w:eastAsia="fr-FR" w:bidi="fr-FR"/>
        </w:rPr>
        <w:t xml:space="preserve"> du fait des tensions r</w:t>
      </w:r>
      <w:r w:rsidRPr="00C57F5E">
        <w:rPr>
          <w:lang w:eastAsia="fr-FR" w:bidi="fr-FR"/>
        </w:rPr>
        <w:t>é</w:t>
      </w:r>
      <w:r w:rsidRPr="00C57F5E">
        <w:rPr>
          <w:lang w:eastAsia="fr-FR" w:bidi="fr-FR"/>
        </w:rPr>
        <w:t xml:space="preserve">gionales qui y existent. Nous avons déjà commencé à analyser le développement de </w:t>
      </w:r>
      <w:r w:rsidRPr="00C57F5E">
        <w:rPr>
          <w:lang w:eastAsia="fr-FR" w:bidi="fr-FR"/>
        </w:rPr>
        <w:lastRenderedPageBreak/>
        <w:t>ces tendances centrifuges au sein de l’État pan-canadien dans un pr</w:t>
      </w:r>
      <w:r w:rsidRPr="00C57F5E">
        <w:rPr>
          <w:lang w:eastAsia="fr-FR" w:bidi="fr-FR"/>
        </w:rPr>
        <w:t>é</w:t>
      </w:r>
      <w:r w:rsidRPr="00C57F5E">
        <w:rPr>
          <w:lang w:eastAsia="fr-FR" w:bidi="fr-FR"/>
        </w:rPr>
        <w:t>cédent article</w:t>
      </w:r>
      <w:r>
        <w:t> </w:t>
      </w:r>
      <w:r>
        <w:rPr>
          <w:rStyle w:val="Appelnotedebasdep"/>
        </w:rPr>
        <w:footnoteReference w:id="12"/>
      </w:r>
      <w:r w:rsidRPr="00C57F5E">
        <w:rPr>
          <w:lang w:eastAsia="fr-FR" w:bidi="fr-FR"/>
        </w:rPr>
        <w:t>.</w:t>
      </w:r>
    </w:p>
    <w:p w14:paraId="48242060" w14:textId="77777777" w:rsidR="00833514" w:rsidRPr="00C57F5E" w:rsidRDefault="00833514" w:rsidP="00833514">
      <w:pPr>
        <w:spacing w:before="120" w:after="120"/>
        <w:jc w:val="both"/>
      </w:pPr>
      <w:r w:rsidRPr="00C57F5E">
        <w:rPr>
          <w:lang w:eastAsia="fr-FR" w:bidi="fr-FR"/>
        </w:rPr>
        <w:t>Actuellement, le Canada produit 80</w:t>
      </w:r>
      <w:r>
        <w:rPr>
          <w:lang w:eastAsia="fr-FR" w:bidi="fr-FR"/>
        </w:rPr>
        <w:t>%</w:t>
      </w:r>
      <w:r w:rsidRPr="00C57F5E">
        <w:rPr>
          <w:lang w:eastAsia="fr-FR" w:bidi="fr-FR"/>
        </w:rPr>
        <w:t xml:space="preserve"> du pétrole nécessaire à sa consommation. En 1977, le bilan énergétique du Canada montrait qu’un peu plus de la moitié de ses besoins énergét</w:t>
      </w:r>
      <w:r w:rsidRPr="00C57F5E">
        <w:rPr>
          <w:lang w:eastAsia="fr-FR" w:bidi="fr-FR"/>
        </w:rPr>
        <w:t>i</w:t>
      </w:r>
      <w:r w:rsidRPr="00C57F5E">
        <w:rPr>
          <w:lang w:eastAsia="fr-FR" w:bidi="fr-FR"/>
        </w:rPr>
        <w:t>ques était remplie par le pétrole (tableau</w:t>
      </w:r>
      <w:r>
        <w:rPr>
          <w:lang w:eastAsia="fr-FR" w:bidi="fr-FR"/>
        </w:rPr>
        <w:t> </w:t>
      </w:r>
      <w:r w:rsidRPr="00C57F5E">
        <w:rPr>
          <w:lang w:eastAsia="fr-FR" w:bidi="fr-FR"/>
        </w:rPr>
        <w:t>4).</w:t>
      </w:r>
    </w:p>
    <w:p w14:paraId="2CFAD286" w14:textId="77777777" w:rsidR="00833514" w:rsidRPr="00C57F5E" w:rsidRDefault="00833514" w:rsidP="00833514">
      <w:pPr>
        <w:spacing w:before="120" w:after="120"/>
        <w:jc w:val="both"/>
      </w:pPr>
      <w:r>
        <w:t>[116]</w:t>
      </w:r>
    </w:p>
    <w:p w14:paraId="2D6B3BBE" w14:textId="77777777" w:rsidR="00833514" w:rsidRDefault="00833514" w:rsidP="00833514">
      <w:pPr>
        <w:spacing w:before="120" w:after="120"/>
        <w:jc w:val="both"/>
        <w:rPr>
          <w:lang w:eastAsia="fr-FR" w:bidi="fr-FR"/>
        </w:rPr>
      </w:pPr>
    </w:p>
    <w:p w14:paraId="05DFB26E" w14:textId="77777777" w:rsidR="00833514" w:rsidRPr="00DC79C3" w:rsidRDefault="00833514" w:rsidP="00833514">
      <w:pPr>
        <w:pStyle w:val="figtitre"/>
      </w:pPr>
      <w:r w:rsidRPr="00DC79C3">
        <w:t>TABLEAU 4</w:t>
      </w:r>
    </w:p>
    <w:p w14:paraId="71CCE798" w14:textId="77777777" w:rsidR="00833514" w:rsidRPr="00DC79C3" w:rsidRDefault="00833514" w:rsidP="00833514">
      <w:pPr>
        <w:pStyle w:val="figtitrest"/>
      </w:pPr>
      <w:r w:rsidRPr="00DC79C3">
        <w:t>Bilan énergétique du Canada et du Québec en 1977</w:t>
      </w:r>
    </w:p>
    <w:tbl>
      <w:tblPr>
        <w:tblW w:w="7920" w:type="dxa"/>
        <w:tblInd w:w="40" w:type="dxa"/>
        <w:tblLayout w:type="fixed"/>
        <w:tblCellMar>
          <w:left w:w="40" w:type="dxa"/>
          <w:right w:w="40" w:type="dxa"/>
        </w:tblCellMar>
        <w:tblLook w:val="0000" w:firstRow="0" w:lastRow="0" w:firstColumn="0" w:lastColumn="0" w:noHBand="0" w:noVBand="0"/>
      </w:tblPr>
      <w:tblGrid>
        <w:gridCol w:w="1080"/>
        <w:gridCol w:w="1368"/>
        <w:gridCol w:w="1368"/>
        <w:gridCol w:w="1368"/>
        <w:gridCol w:w="1368"/>
        <w:gridCol w:w="1368"/>
      </w:tblGrid>
      <w:tr w:rsidR="00833514" w:rsidRPr="00DD1F6D" w14:paraId="3016EADC" w14:textId="77777777">
        <w:tblPrEx>
          <w:tblCellMar>
            <w:top w:w="0" w:type="dxa"/>
            <w:bottom w:w="0" w:type="dxa"/>
          </w:tblCellMar>
        </w:tblPrEx>
        <w:tc>
          <w:tcPr>
            <w:tcW w:w="1080" w:type="dxa"/>
            <w:tcBorders>
              <w:top w:val="single" w:sz="6" w:space="0" w:color="auto"/>
              <w:left w:val="nil"/>
              <w:bottom w:val="single" w:sz="8" w:space="0" w:color="auto"/>
              <w:right w:val="nil"/>
            </w:tcBorders>
            <w:shd w:val="clear" w:color="auto" w:fill="EEECE1"/>
          </w:tcPr>
          <w:p w14:paraId="5CDDB6EA" w14:textId="77777777" w:rsidR="00833514" w:rsidRPr="00DD1F6D" w:rsidRDefault="00833514" w:rsidP="00833514">
            <w:pPr>
              <w:spacing w:before="60" w:after="60"/>
              <w:ind w:firstLine="0"/>
              <w:rPr>
                <w:sz w:val="24"/>
              </w:rPr>
            </w:pPr>
          </w:p>
        </w:tc>
        <w:tc>
          <w:tcPr>
            <w:tcW w:w="1368" w:type="dxa"/>
            <w:tcBorders>
              <w:top w:val="single" w:sz="6" w:space="0" w:color="auto"/>
              <w:left w:val="nil"/>
              <w:bottom w:val="single" w:sz="8" w:space="0" w:color="auto"/>
              <w:right w:val="nil"/>
            </w:tcBorders>
            <w:shd w:val="clear" w:color="auto" w:fill="EEECE1"/>
          </w:tcPr>
          <w:p w14:paraId="40BF2339" w14:textId="77777777" w:rsidR="00833514" w:rsidRPr="00DD1F6D" w:rsidRDefault="00833514" w:rsidP="00833514">
            <w:pPr>
              <w:spacing w:before="60" w:after="60"/>
              <w:ind w:firstLine="0"/>
              <w:jc w:val="center"/>
              <w:rPr>
                <w:sz w:val="24"/>
              </w:rPr>
            </w:pPr>
            <w:r>
              <w:rPr>
                <w:sz w:val="24"/>
                <w:szCs w:val="36"/>
              </w:rPr>
              <w:t>Pétrole</w:t>
            </w:r>
          </w:p>
        </w:tc>
        <w:tc>
          <w:tcPr>
            <w:tcW w:w="1368" w:type="dxa"/>
            <w:tcBorders>
              <w:top w:val="single" w:sz="6" w:space="0" w:color="auto"/>
              <w:left w:val="nil"/>
              <w:bottom w:val="single" w:sz="8" w:space="0" w:color="auto"/>
              <w:right w:val="nil"/>
            </w:tcBorders>
            <w:shd w:val="clear" w:color="auto" w:fill="EEECE1"/>
          </w:tcPr>
          <w:p w14:paraId="7FB710FA" w14:textId="77777777" w:rsidR="00833514" w:rsidRPr="00DD1F6D" w:rsidRDefault="00833514" w:rsidP="00833514">
            <w:pPr>
              <w:spacing w:before="60" w:after="60"/>
              <w:ind w:firstLine="0"/>
              <w:jc w:val="center"/>
              <w:rPr>
                <w:sz w:val="24"/>
              </w:rPr>
            </w:pPr>
            <w:r>
              <w:rPr>
                <w:sz w:val="24"/>
                <w:szCs w:val="36"/>
              </w:rPr>
              <w:t>Ga</w:t>
            </w:r>
            <w:r w:rsidRPr="00DD1F6D">
              <w:rPr>
                <w:sz w:val="24"/>
                <w:szCs w:val="36"/>
              </w:rPr>
              <w:t>z naturel</w:t>
            </w:r>
          </w:p>
        </w:tc>
        <w:tc>
          <w:tcPr>
            <w:tcW w:w="1368" w:type="dxa"/>
            <w:tcBorders>
              <w:top w:val="single" w:sz="6" w:space="0" w:color="auto"/>
              <w:left w:val="nil"/>
              <w:bottom w:val="single" w:sz="8" w:space="0" w:color="auto"/>
              <w:right w:val="nil"/>
            </w:tcBorders>
            <w:shd w:val="clear" w:color="auto" w:fill="EEECE1"/>
          </w:tcPr>
          <w:p w14:paraId="2D134DC5" w14:textId="77777777" w:rsidR="00833514" w:rsidRPr="00DD1F6D" w:rsidRDefault="00833514" w:rsidP="00833514">
            <w:pPr>
              <w:spacing w:before="60" w:after="60"/>
              <w:ind w:firstLine="0"/>
              <w:jc w:val="center"/>
              <w:rPr>
                <w:sz w:val="24"/>
              </w:rPr>
            </w:pPr>
            <w:r>
              <w:rPr>
                <w:sz w:val="24"/>
                <w:szCs w:val="36"/>
              </w:rPr>
              <w:t>Él</w:t>
            </w:r>
            <w:r w:rsidRPr="00DD1F6D">
              <w:rPr>
                <w:sz w:val="24"/>
                <w:szCs w:val="36"/>
              </w:rPr>
              <w:t>ectricité</w:t>
            </w:r>
          </w:p>
        </w:tc>
        <w:tc>
          <w:tcPr>
            <w:tcW w:w="1368" w:type="dxa"/>
            <w:tcBorders>
              <w:top w:val="single" w:sz="6" w:space="0" w:color="auto"/>
              <w:left w:val="nil"/>
              <w:bottom w:val="single" w:sz="8" w:space="0" w:color="auto"/>
              <w:right w:val="nil"/>
            </w:tcBorders>
            <w:shd w:val="clear" w:color="auto" w:fill="EEECE1"/>
          </w:tcPr>
          <w:p w14:paraId="589B3749" w14:textId="77777777" w:rsidR="00833514" w:rsidRPr="00DD1F6D" w:rsidRDefault="00833514" w:rsidP="00833514">
            <w:pPr>
              <w:spacing w:before="60" w:after="60"/>
              <w:ind w:firstLine="0"/>
              <w:jc w:val="center"/>
              <w:rPr>
                <w:sz w:val="24"/>
              </w:rPr>
            </w:pPr>
            <w:r w:rsidRPr="00DD1F6D">
              <w:rPr>
                <w:sz w:val="24"/>
                <w:szCs w:val="36"/>
              </w:rPr>
              <w:t>Charbon</w:t>
            </w:r>
          </w:p>
        </w:tc>
        <w:tc>
          <w:tcPr>
            <w:tcW w:w="1368" w:type="dxa"/>
            <w:tcBorders>
              <w:top w:val="single" w:sz="6" w:space="0" w:color="auto"/>
              <w:left w:val="nil"/>
              <w:bottom w:val="single" w:sz="8" w:space="0" w:color="auto"/>
              <w:right w:val="nil"/>
            </w:tcBorders>
            <w:shd w:val="clear" w:color="auto" w:fill="EEECE1"/>
          </w:tcPr>
          <w:p w14:paraId="55A4D89D" w14:textId="77777777" w:rsidR="00833514" w:rsidRPr="00DD1F6D" w:rsidRDefault="00833514" w:rsidP="00833514">
            <w:pPr>
              <w:spacing w:before="60" w:after="60"/>
              <w:ind w:firstLine="0"/>
              <w:jc w:val="center"/>
              <w:rPr>
                <w:sz w:val="24"/>
              </w:rPr>
            </w:pPr>
            <w:r w:rsidRPr="00DD1F6D">
              <w:rPr>
                <w:sz w:val="24"/>
                <w:szCs w:val="36"/>
              </w:rPr>
              <w:t>Nucléaire</w:t>
            </w:r>
          </w:p>
        </w:tc>
      </w:tr>
      <w:tr w:rsidR="00833514" w:rsidRPr="00DD1F6D" w14:paraId="0E100CB3" w14:textId="77777777">
        <w:tblPrEx>
          <w:tblCellMar>
            <w:top w:w="0" w:type="dxa"/>
            <w:bottom w:w="0" w:type="dxa"/>
          </w:tblCellMar>
        </w:tblPrEx>
        <w:tc>
          <w:tcPr>
            <w:tcW w:w="1080" w:type="dxa"/>
            <w:tcBorders>
              <w:top w:val="single" w:sz="8" w:space="0" w:color="auto"/>
              <w:left w:val="nil"/>
              <w:bottom w:val="nil"/>
              <w:right w:val="nil"/>
            </w:tcBorders>
            <w:shd w:val="clear" w:color="auto" w:fill="FFFFFF"/>
          </w:tcPr>
          <w:p w14:paraId="7A3CBC01" w14:textId="77777777" w:rsidR="00833514" w:rsidRPr="00DD1F6D" w:rsidRDefault="00833514" w:rsidP="00833514">
            <w:pPr>
              <w:spacing w:before="60" w:after="60"/>
              <w:ind w:firstLine="0"/>
              <w:rPr>
                <w:sz w:val="24"/>
              </w:rPr>
            </w:pPr>
            <w:r w:rsidRPr="00DD1F6D">
              <w:rPr>
                <w:sz w:val="24"/>
                <w:szCs w:val="36"/>
              </w:rPr>
              <w:t>Canada</w:t>
            </w:r>
          </w:p>
        </w:tc>
        <w:tc>
          <w:tcPr>
            <w:tcW w:w="1368" w:type="dxa"/>
            <w:tcBorders>
              <w:top w:val="single" w:sz="8" w:space="0" w:color="auto"/>
              <w:left w:val="nil"/>
              <w:bottom w:val="nil"/>
              <w:right w:val="nil"/>
            </w:tcBorders>
            <w:shd w:val="clear" w:color="auto" w:fill="FFFFFF"/>
          </w:tcPr>
          <w:p w14:paraId="07057A83" w14:textId="77777777" w:rsidR="00833514" w:rsidRPr="00DD1F6D" w:rsidRDefault="00833514" w:rsidP="00833514">
            <w:pPr>
              <w:spacing w:before="60" w:after="60"/>
              <w:ind w:right="248" w:firstLine="0"/>
              <w:jc w:val="right"/>
              <w:rPr>
                <w:sz w:val="24"/>
              </w:rPr>
            </w:pPr>
            <w:r w:rsidRPr="00DD1F6D">
              <w:rPr>
                <w:sz w:val="24"/>
                <w:szCs w:val="36"/>
              </w:rPr>
              <w:t>50,5%</w:t>
            </w:r>
          </w:p>
        </w:tc>
        <w:tc>
          <w:tcPr>
            <w:tcW w:w="1368" w:type="dxa"/>
            <w:tcBorders>
              <w:top w:val="single" w:sz="8" w:space="0" w:color="auto"/>
              <w:left w:val="nil"/>
              <w:bottom w:val="nil"/>
              <w:right w:val="nil"/>
            </w:tcBorders>
            <w:shd w:val="clear" w:color="auto" w:fill="FFFFFF"/>
          </w:tcPr>
          <w:p w14:paraId="7839A8B6" w14:textId="77777777" w:rsidR="00833514" w:rsidRPr="00DD1F6D" w:rsidRDefault="00833514" w:rsidP="00833514">
            <w:pPr>
              <w:spacing w:before="60" w:after="60"/>
              <w:ind w:right="356" w:firstLine="0"/>
              <w:jc w:val="right"/>
              <w:rPr>
                <w:sz w:val="24"/>
              </w:rPr>
            </w:pPr>
            <w:r w:rsidRPr="00DD1F6D">
              <w:rPr>
                <w:sz w:val="24"/>
                <w:szCs w:val="36"/>
              </w:rPr>
              <w:t>26,7%</w:t>
            </w:r>
          </w:p>
        </w:tc>
        <w:tc>
          <w:tcPr>
            <w:tcW w:w="1368" w:type="dxa"/>
            <w:tcBorders>
              <w:top w:val="single" w:sz="8" w:space="0" w:color="auto"/>
              <w:left w:val="nil"/>
              <w:bottom w:val="nil"/>
              <w:right w:val="nil"/>
            </w:tcBorders>
            <w:shd w:val="clear" w:color="auto" w:fill="FFFFFF"/>
          </w:tcPr>
          <w:p w14:paraId="570A4600" w14:textId="77777777" w:rsidR="00833514" w:rsidRPr="00DD1F6D" w:rsidRDefault="00833514" w:rsidP="00833514">
            <w:pPr>
              <w:spacing w:before="60" w:after="60"/>
              <w:ind w:right="356" w:firstLine="0"/>
              <w:jc w:val="right"/>
              <w:rPr>
                <w:sz w:val="24"/>
              </w:rPr>
            </w:pPr>
            <w:r w:rsidRPr="00DD1F6D">
              <w:rPr>
                <w:sz w:val="24"/>
                <w:szCs w:val="36"/>
              </w:rPr>
              <w:t>10,3%</w:t>
            </w:r>
          </w:p>
        </w:tc>
        <w:tc>
          <w:tcPr>
            <w:tcW w:w="1368" w:type="dxa"/>
            <w:tcBorders>
              <w:top w:val="single" w:sz="8" w:space="0" w:color="auto"/>
              <w:left w:val="nil"/>
              <w:bottom w:val="nil"/>
              <w:right w:val="nil"/>
            </w:tcBorders>
            <w:shd w:val="clear" w:color="auto" w:fill="FFFFFF"/>
          </w:tcPr>
          <w:p w14:paraId="402C5FD1" w14:textId="77777777" w:rsidR="00833514" w:rsidRPr="00DD1F6D" w:rsidRDefault="00833514" w:rsidP="00833514">
            <w:pPr>
              <w:spacing w:before="60" w:after="60"/>
              <w:ind w:right="356" w:firstLine="0"/>
              <w:jc w:val="right"/>
              <w:rPr>
                <w:sz w:val="24"/>
              </w:rPr>
            </w:pPr>
            <w:r w:rsidRPr="00DD1F6D">
              <w:rPr>
                <w:sz w:val="24"/>
                <w:szCs w:val="36"/>
              </w:rPr>
              <w:t>11,3%</w:t>
            </w:r>
          </w:p>
        </w:tc>
        <w:tc>
          <w:tcPr>
            <w:tcW w:w="1368" w:type="dxa"/>
            <w:tcBorders>
              <w:top w:val="single" w:sz="8" w:space="0" w:color="auto"/>
              <w:left w:val="nil"/>
              <w:bottom w:val="nil"/>
              <w:right w:val="nil"/>
            </w:tcBorders>
            <w:shd w:val="clear" w:color="auto" w:fill="FFFFFF"/>
          </w:tcPr>
          <w:p w14:paraId="0164AB66" w14:textId="77777777" w:rsidR="00833514" w:rsidRPr="00DD1F6D" w:rsidRDefault="00833514" w:rsidP="00833514">
            <w:pPr>
              <w:spacing w:before="60" w:after="60"/>
              <w:ind w:right="468" w:firstLine="0"/>
              <w:jc w:val="right"/>
              <w:rPr>
                <w:sz w:val="24"/>
              </w:rPr>
            </w:pPr>
            <w:r w:rsidRPr="00DD1F6D">
              <w:rPr>
                <w:sz w:val="24"/>
                <w:szCs w:val="36"/>
              </w:rPr>
              <w:t>1,2%</w:t>
            </w:r>
          </w:p>
        </w:tc>
      </w:tr>
      <w:tr w:rsidR="00833514" w:rsidRPr="00DD1F6D" w14:paraId="1815FBE0" w14:textId="77777777">
        <w:tblPrEx>
          <w:tblCellMar>
            <w:top w:w="0" w:type="dxa"/>
            <w:bottom w:w="0" w:type="dxa"/>
          </w:tblCellMar>
        </w:tblPrEx>
        <w:tc>
          <w:tcPr>
            <w:tcW w:w="1080" w:type="dxa"/>
            <w:tcBorders>
              <w:top w:val="nil"/>
              <w:left w:val="nil"/>
              <w:bottom w:val="nil"/>
              <w:right w:val="nil"/>
            </w:tcBorders>
            <w:shd w:val="clear" w:color="auto" w:fill="FFFFFF"/>
          </w:tcPr>
          <w:p w14:paraId="18C3DBB0" w14:textId="77777777" w:rsidR="00833514" w:rsidRPr="00DD1F6D" w:rsidRDefault="00833514" w:rsidP="00833514">
            <w:pPr>
              <w:spacing w:before="60" w:after="60"/>
              <w:ind w:firstLine="0"/>
              <w:rPr>
                <w:sz w:val="24"/>
              </w:rPr>
            </w:pPr>
            <w:r w:rsidRPr="00DD1F6D">
              <w:rPr>
                <w:sz w:val="24"/>
                <w:szCs w:val="36"/>
              </w:rPr>
              <w:t>Québec</w:t>
            </w:r>
          </w:p>
        </w:tc>
        <w:tc>
          <w:tcPr>
            <w:tcW w:w="1368" w:type="dxa"/>
            <w:tcBorders>
              <w:top w:val="nil"/>
              <w:left w:val="nil"/>
              <w:bottom w:val="nil"/>
              <w:right w:val="nil"/>
            </w:tcBorders>
            <w:shd w:val="clear" w:color="auto" w:fill="FFFFFF"/>
          </w:tcPr>
          <w:p w14:paraId="2CCFB7CF" w14:textId="77777777" w:rsidR="00833514" w:rsidRPr="00DD1F6D" w:rsidRDefault="00833514" w:rsidP="00833514">
            <w:pPr>
              <w:spacing w:before="60" w:after="60"/>
              <w:ind w:right="248" w:firstLine="0"/>
              <w:jc w:val="right"/>
              <w:rPr>
                <w:sz w:val="24"/>
              </w:rPr>
            </w:pPr>
            <w:r w:rsidRPr="00DD1F6D">
              <w:rPr>
                <w:sz w:val="24"/>
                <w:szCs w:val="36"/>
              </w:rPr>
              <w:t>66,5%</w:t>
            </w:r>
          </w:p>
        </w:tc>
        <w:tc>
          <w:tcPr>
            <w:tcW w:w="1368" w:type="dxa"/>
            <w:tcBorders>
              <w:top w:val="nil"/>
              <w:left w:val="nil"/>
              <w:bottom w:val="nil"/>
              <w:right w:val="nil"/>
            </w:tcBorders>
            <w:shd w:val="clear" w:color="auto" w:fill="FFFFFF"/>
          </w:tcPr>
          <w:p w14:paraId="37CB3942" w14:textId="77777777" w:rsidR="00833514" w:rsidRPr="00DD1F6D" w:rsidRDefault="00833514" w:rsidP="00833514">
            <w:pPr>
              <w:spacing w:before="60" w:after="60"/>
              <w:ind w:right="356" w:firstLine="0"/>
              <w:jc w:val="right"/>
              <w:rPr>
                <w:sz w:val="24"/>
              </w:rPr>
            </w:pPr>
            <w:r w:rsidRPr="00DD1F6D">
              <w:rPr>
                <w:sz w:val="24"/>
                <w:szCs w:val="36"/>
              </w:rPr>
              <w:t>6,75%</w:t>
            </w:r>
          </w:p>
        </w:tc>
        <w:tc>
          <w:tcPr>
            <w:tcW w:w="1368" w:type="dxa"/>
            <w:tcBorders>
              <w:top w:val="nil"/>
              <w:left w:val="nil"/>
              <w:bottom w:val="nil"/>
              <w:right w:val="nil"/>
            </w:tcBorders>
            <w:shd w:val="clear" w:color="auto" w:fill="FFFFFF"/>
          </w:tcPr>
          <w:p w14:paraId="0A606BE3" w14:textId="77777777" w:rsidR="00833514" w:rsidRPr="00DD1F6D" w:rsidRDefault="00833514" w:rsidP="00833514">
            <w:pPr>
              <w:spacing w:before="60" w:after="60"/>
              <w:ind w:right="356" w:firstLine="0"/>
              <w:jc w:val="right"/>
              <w:rPr>
                <w:sz w:val="24"/>
              </w:rPr>
            </w:pPr>
            <w:r w:rsidRPr="00DD1F6D">
              <w:rPr>
                <w:sz w:val="24"/>
                <w:szCs w:val="36"/>
              </w:rPr>
              <w:t>25.2%</w:t>
            </w:r>
          </w:p>
        </w:tc>
        <w:tc>
          <w:tcPr>
            <w:tcW w:w="1368" w:type="dxa"/>
            <w:tcBorders>
              <w:top w:val="nil"/>
              <w:left w:val="nil"/>
              <w:bottom w:val="nil"/>
              <w:right w:val="nil"/>
            </w:tcBorders>
            <w:shd w:val="clear" w:color="auto" w:fill="FFFFFF"/>
          </w:tcPr>
          <w:p w14:paraId="3017A999" w14:textId="77777777" w:rsidR="00833514" w:rsidRPr="00DD1F6D" w:rsidRDefault="00833514" w:rsidP="00833514">
            <w:pPr>
              <w:spacing w:before="60" w:after="60"/>
              <w:ind w:right="356" w:firstLine="0"/>
              <w:jc w:val="right"/>
              <w:rPr>
                <w:sz w:val="24"/>
              </w:rPr>
            </w:pPr>
            <w:r w:rsidRPr="00DD1F6D">
              <w:rPr>
                <w:sz w:val="24"/>
                <w:szCs w:val="36"/>
              </w:rPr>
              <w:t>1,6%</w:t>
            </w:r>
          </w:p>
        </w:tc>
        <w:tc>
          <w:tcPr>
            <w:tcW w:w="1368" w:type="dxa"/>
            <w:tcBorders>
              <w:top w:val="nil"/>
              <w:left w:val="nil"/>
              <w:bottom w:val="nil"/>
              <w:right w:val="nil"/>
            </w:tcBorders>
            <w:shd w:val="clear" w:color="auto" w:fill="FFFFFF"/>
          </w:tcPr>
          <w:p w14:paraId="16D22D06" w14:textId="77777777" w:rsidR="00833514" w:rsidRPr="00DD1F6D" w:rsidRDefault="00833514" w:rsidP="00833514">
            <w:pPr>
              <w:spacing w:before="60" w:after="60"/>
              <w:ind w:right="468" w:firstLine="0"/>
              <w:jc w:val="right"/>
              <w:rPr>
                <w:sz w:val="24"/>
              </w:rPr>
            </w:pPr>
            <w:r>
              <w:rPr>
                <w:sz w:val="24"/>
              </w:rPr>
              <w:t>—</w:t>
            </w:r>
          </w:p>
        </w:tc>
      </w:tr>
      <w:tr w:rsidR="00833514" w:rsidRPr="00DD1F6D" w14:paraId="662702BA" w14:textId="77777777">
        <w:tblPrEx>
          <w:tblCellMar>
            <w:top w:w="0" w:type="dxa"/>
            <w:bottom w:w="0" w:type="dxa"/>
          </w:tblCellMar>
        </w:tblPrEx>
        <w:tc>
          <w:tcPr>
            <w:tcW w:w="1080" w:type="dxa"/>
            <w:tcBorders>
              <w:top w:val="nil"/>
              <w:left w:val="nil"/>
              <w:right w:val="nil"/>
            </w:tcBorders>
            <w:shd w:val="clear" w:color="auto" w:fill="FFFFFF"/>
          </w:tcPr>
          <w:p w14:paraId="1E6C78CC" w14:textId="77777777" w:rsidR="00833514" w:rsidRPr="00DD1F6D" w:rsidRDefault="00833514" w:rsidP="00833514">
            <w:pPr>
              <w:spacing w:before="60" w:after="60"/>
              <w:ind w:firstLine="0"/>
              <w:rPr>
                <w:sz w:val="24"/>
              </w:rPr>
            </w:pPr>
            <w:r w:rsidRPr="00DD1F6D">
              <w:rPr>
                <w:sz w:val="24"/>
                <w:szCs w:val="36"/>
              </w:rPr>
              <w:t>Ontario</w:t>
            </w:r>
          </w:p>
        </w:tc>
        <w:tc>
          <w:tcPr>
            <w:tcW w:w="1368" w:type="dxa"/>
            <w:tcBorders>
              <w:top w:val="nil"/>
              <w:left w:val="nil"/>
              <w:right w:val="nil"/>
            </w:tcBorders>
            <w:shd w:val="clear" w:color="auto" w:fill="FFFFFF"/>
          </w:tcPr>
          <w:p w14:paraId="4262FB55" w14:textId="77777777" w:rsidR="00833514" w:rsidRPr="00DD1F6D" w:rsidRDefault="00833514" w:rsidP="00833514">
            <w:pPr>
              <w:spacing w:before="60" w:after="60"/>
              <w:ind w:right="248" w:firstLine="0"/>
              <w:jc w:val="right"/>
              <w:rPr>
                <w:sz w:val="24"/>
              </w:rPr>
            </w:pPr>
            <w:r w:rsidRPr="00DD1F6D">
              <w:rPr>
                <w:sz w:val="24"/>
                <w:szCs w:val="36"/>
              </w:rPr>
              <w:t>48,2%</w:t>
            </w:r>
          </w:p>
        </w:tc>
        <w:tc>
          <w:tcPr>
            <w:tcW w:w="1368" w:type="dxa"/>
            <w:tcBorders>
              <w:top w:val="nil"/>
              <w:left w:val="nil"/>
              <w:right w:val="nil"/>
            </w:tcBorders>
            <w:shd w:val="clear" w:color="auto" w:fill="FFFFFF"/>
          </w:tcPr>
          <w:p w14:paraId="6A50C1D2" w14:textId="77777777" w:rsidR="00833514" w:rsidRPr="00DD1F6D" w:rsidRDefault="00833514" w:rsidP="00833514">
            <w:pPr>
              <w:spacing w:before="60" w:after="60"/>
              <w:ind w:right="356" w:firstLine="0"/>
              <w:jc w:val="right"/>
              <w:rPr>
                <w:sz w:val="24"/>
              </w:rPr>
            </w:pPr>
            <w:r w:rsidRPr="00DD1F6D">
              <w:rPr>
                <w:sz w:val="24"/>
                <w:szCs w:val="36"/>
              </w:rPr>
              <w:t>28,56%</w:t>
            </w:r>
          </w:p>
        </w:tc>
        <w:tc>
          <w:tcPr>
            <w:tcW w:w="1368" w:type="dxa"/>
            <w:tcBorders>
              <w:top w:val="nil"/>
              <w:left w:val="nil"/>
              <w:right w:val="nil"/>
            </w:tcBorders>
            <w:shd w:val="clear" w:color="auto" w:fill="FFFFFF"/>
          </w:tcPr>
          <w:p w14:paraId="37287C3E" w14:textId="77777777" w:rsidR="00833514" w:rsidRPr="00DD1F6D" w:rsidRDefault="00833514" w:rsidP="00833514">
            <w:pPr>
              <w:spacing w:before="60" w:after="60"/>
              <w:ind w:right="356" w:firstLine="0"/>
              <w:jc w:val="right"/>
              <w:rPr>
                <w:sz w:val="24"/>
              </w:rPr>
            </w:pPr>
            <w:r w:rsidRPr="00DD1F6D">
              <w:rPr>
                <w:sz w:val="24"/>
                <w:szCs w:val="36"/>
              </w:rPr>
              <w:t>15,3%</w:t>
            </w:r>
          </w:p>
        </w:tc>
        <w:tc>
          <w:tcPr>
            <w:tcW w:w="1368" w:type="dxa"/>
            <w:tcBorders>
              <w:top w:val="nil"/>
              <w:left w:val="nil"/>
              <w:right w:val="nil"/>
            </w:tcBorders>
            <w:shd w:val="clear" w:color="auto" w:fill="FFFFFF"/>
          </w:tcPr>
          <w:p w14:paraId="27332008" w14:textId="77777777" w:rsidR="00833514" w:rsidRPr="00DD1F6D" w:rsidRDefault="00833514" w:rsidP="00833514">
            <w:pPr>
              <w:spacing w:before="60" w:after="60"/>
              <w:ind w:right="356" w:firstLine="0"/>
              <w:jc w:val="right"/>
              <w:rPr>
                <w:sz w:val="24"/>
              </w:rPr>
            </w:pPr>
            <w:r w:rsidRPr="00DD1F6D">
              <w:rPr>
                <w:sz w:val="24"/>
                <w:szCs w:val="36"/>
              </w:rPr>
              <w:t>7,91%</w:t>
            </w:r>
          </w:p>
        </w:tc>
        <w:tc>
          <w:tcPr>
            <w:tcW w:w="1368" w:type="dxa"/>
            <w:tcBorders>
              <w:top w:val="nil"/>
              <w:left w:val="nil"/>
              <w:right w:val="nil"/>
            </w:tcBorders>
            <w:shd w:val="clear" w:color="auto" w:fill="FFFFFF"/>
          </w:tcPr>
          <w:p w14:paraId="6F608DA6" w14:textId="77777777" w:rsidR="00833514" w:rsidRPr="00DD1F6D" w:rsidRDefault="00833514" w:rsidP="00833514">
            <w:pPr>
              <w:spacing w:before="60" w:after="60"/>
              <w:ind w:right="468" w:firstLine="0"/>
              <w:jc w:val="right"/>
              <w:rPr>
                <w:sz w:val="24"/>
              </w:rPr>
            </w:pPr>
            <w:r>
              <w:rPr>
                <w:sz w:val="24"/>
              </w:rPr>
              <w:t>—</w:t>
            </w:r>
          </w:p>
        </w:tc>
      </w:tr>
      <w:tr w:rsidR="00833514" w:rsidRPr="00DD1F6D" w14:paraId="752FFE0C" w14:textId="77777777">
        <w:tblPrEx>
          <w:tblCellMar>
            <w:top w:w="0" w:type="dxa"/>
            <w:bottom w:w="0" w:type="dxa"/>
          </w:tblCellMar>
        </w:tblPrEx>
        <w:tc>
          <w:tcPr>
            <w:tcW w:w="1080" w:type="dxa"/>
            <w:tcBorders>
              <w:top w:val="nil"/>
              <w:left w:val="nil"/>
              <w:bottom w:val="single" w:sz="8" w:space="0" w:color="auto"/>
              <w:right w:val="nil"/>
            </w:tcBorders>
            <w:shd w:val="clear" w:color="auto" w:fill="FFFFFF"/>
          </w:tcPr>
          <w:p w14:paraId="01A0894B" w14:textId="77777777" w:rsidR="00833514" w:rsidRPr="00DD1F6D" w:rsidRDefault="00833514" w:rsidP="00833514">
            <w:pPr>
              <w:spacing w:before="60" w:after="60"/>
              <w:ind w:firstLine="0"/>
              <w:rPr>
                <w:sz w:val="24"/>
              </w:rPr>
            </w:pPr>
            <w:r w:rsidRPr="00DD1F6D">
              <w:rPr>
                <w:sz w:val="24"/>
                <w:szCs w:val="36"/>
              </w:rPr>
              <w:t>Alberta</w:t>
            </w:r>
          </w:p>
        </w:tc>
        <w:tc>
          <w:tcPr>
            <w:tcW w:w="1368" w:type="dxa"/>
            <w:tcBorders>
              <w:top w:val="nil"/>
              <w:left w:val="nil"/>
              <w:bottom w:val="single" w:sz="8" w:space="0" w:color="auto"/>
              <w:right w:val="nil"/>
            </w:tcBorders>
            <w:shd w:val="clear" w:color="auto" w:fill="FFFFFF"/>
          </w:tcPr>
          <w:p w14:paraId="06BFAF0F" w14:textId="77777777" w:rsidR="00833514" w:rsidRPr="00DD1F6D" w:rsidRDefault="00833514" w:rsidP="00833514">
            <w:pPr>
              <w:spacing w:before="60" w:after="60"/>
              <w:ind w:right="248" w:firstLine="0"/>
              <w:jc w:val="right"/>
              <w:rPr>
                <w:sz w:val="24"/>
              </w:rPr>
            </w:pPr>
            <w:r w:rsidRPr="00DD1F6D">
              <w:rPr>
                <w:sz w:val="24"/>
                <w:szCs w:val="36"/>
              </w:rPr>
              <w:t>31,76%</w:t>
            </w:r>
          </w:p>
        </w:tc>
        <w:tc>
          <w:tcPr>
            <w:tcW w:w="1368" w:type="dxa"/>
            <w:tcBorders>
              <w:top w:val="nil"/>
              <w:left w:val="nil"/>
              <w:bottom w:val="single" w:sz="8" w:space="0" w:color="auto"/>
              <w:right w:val="nil"/>
            </w:tcBorders>
            <w:shd w:val="clear" w:color="auto" w:fill="FFFFFF"/>
          </w:tcPr>
          <w:p w14:paraId="02AB7765" w14:textId="77777777" w:rsidR="00833514" w:rsidRPr="00DD1F6D" w:rsidRDefault="00833514" w:rsidP="00833514">
            <w:pPr>
              <w:spacing w:before="60" w:after="60"/>
              <w:ind w:right="356" w:firstLine="0"/>
              <w:jc w:val="right"/>
              <w:rPr>
                <w:sz w:val="24"/>
              </w:rPr>
            </w:pPr>
            <w:r w:rsidRPr="00DD1F6D">
              <w:rPr>
                <w:sz w:val="24"/>
                <w:szCs w:val="36"/>
              </w:rPr>
              <w:t>61,69%</w:t>
            </w:r>
          </w:p>
        </w:tc>
        <w:tc>
          <w:tcPr>
            <w:tcW w:w="1368" w:type="dxa"/>
            <w:tcBorders>
              <w:top w:val="nil"/>
              <w:left w:val="nil"/>
              <w:bottom w:val="single" w:sz="8" w:space="0" w:color="auto"/>
              <w:right w:val="nil"/>
            </w:tcBorders>
            <w:shd w:val="clear" w:color="auto" w:fill="FFFFFF"/>
          </w:tcPr>
          <w:p w14:paraId="07100B5D" w14:textId="77777777" w:rsidR="00833514" w:rsidRPr="00DD1F6D" w:rsidRDefault="00833514" w:rsidP="00833514">
            <w:pPr>
              <w:spacing w:before="60" w:after="60"/>
              <w:ind w:right="356" w:firstLine="0"/>
              <w:jc w:val="right"/>
              <w:rPr>
                <w:sz w:val="24"/>
              </w:rPr>
            </w:pPr>
            <w:r w:rsidRPr="00DD1F6D">
              <w:rPr>
                <w:sz w:val="24"/>
                <w:szCs w:val="36"/>
              </w:rPr>
              <w:t>6,25%</w:t>
            </w:r>
          </w:p>
        </w:tc>
        <w:tc>
          <w:tcPr>
            <w:tcW w:w="1368" w:type="dxa"/>
            <w:tcBorders>
              <w:top w:val="nil"/>
              <w:left w:val="nil"/>
              <w:bottom w:val="single" w:sz="8" w:space="0" w:color="auto"/>
              <w:right w:val="nil"/>
            </w:tcBorders>
            <w:shd w:val="clear" w:color="auto" w:fill="FFFFFF"/>
          </w:tcPr>
          <w:p w14:paraId="0D90AA52" w14:textId="77777777" w:rsidR="00833514" w:rsidRPr="00DD1F6D" w:rsidRDefault="00833514" w:rsidP="00833514">
            <w:pPr>
              <w:spacing w:before="60" w:after="60"/>
              <w:ind w:right="356" w:firstLine="0"/>
              <w:jc w:val="right"/>
              <w:rPr>
                <w:sz w:val="24"/>
              </w:rPr>
            </w:pPr>
            <w:r w:rsidRPr="00DD1F6D">
              <w:rPr>
                <w:sz w:val="24"/>
                <w:szCs w:val="36"/>
              </w:rPr>
              <w:t>0,3%</w:t>
            </w:r>
          </w:p>
        </w:tc>
        <w:tc>
          <w:tcPr>
            <w:tcW w:w="1368" w:type="dxa"/>
            <w:tcBorders>
              <w:top w:val="nil"/>
              <w:left w:val="nil"/>
              <w:bottom w:val="single" w:sz="8" w:space="0" w:color="auto"/>
              <w:right w:val="nil"/>
            </w:tcBorders>
            <w:shd w:val="clear" w:color="auto" w:fill="FFFFFF"/>
          </w:tcPr>
          <w:p w14:paraId="01E2CF1B" w14:textId="77777777" w:rsidR="00833514" w:rsidRPr="00DD1F6D" w:rsidRDefault="00833514" w:rsidP="00833514">
            <w:pPr>
              <w:spacing w:before="60" w:after="60"/>
              <w:ind w:right="468" w:firstLine="0"/>
              <w:jc w:val="right"/>
              <w:rPr>
                <w:sz w:val="24"/>
              </w:rPr>
            </w:pPr>
            <w:r>
              <w:rPr>
                <w:sz w:val="24"/>
              </w:rPr>
              <w:t>—</w:t>
            </w:r>
          </w:p>
        </w:tc>
      </w:tr>
    </w:tbl>
    <w:p w14:paraId="4D31F7E4" w14:textId="77777777" w:rsidR="00833514" w:rsidRPr="00DC79C3" w:rsidRDefault="00833514" w:rsidP="00833514">
      <w:pPr>
        <w:spacing w:before="120" w:after="120"/>
        <w:jc w:val="both"/>
        <w:rPr>
          <w:sz w:val="24"/>
          <w:lang w:eastAsia="fr-FR" w:bidi="fr-FR"/>
        </w:rPr>
      </w:pPr>
      <w:r w:rsidRPr="00DC79C3">
        <w:rPr>
          <w:sz w:val="24"/>
          <w:lang w:eastAsia="fr-FR" w:bidi="fr-FR"/>
        </w:rPr>
        <w:t>Statistique Canada</w:t>
      </w:r>
    </w:p>
    <w:p w14:paraId="10FFB508" w14:textId="77777777" w:rsidR="00833514" w:rsidRPr="00DC79C3" w:rsidRDefault="00833514" w:rsidP="00833514">
      <w:pPr>
        <w:spacing w:before="120" w:after="120"/>
        <w:jc w:val="both"/>
        <w:rPr>
          <w:sz w:val="24"/>
          <w:lang w:eastAsia="fr-FR" w:bidi="fr-FR"/>
        </w:rPr>
      </w:pPr>
    </w:p>
    <w:p w14:paraId="3CD0A728" w14:textId="77777777" w:rsidR="00833514" w:rsidRDefault="00833514" w:rsidP="00833514">
      <w:pPr>
        <w:spacing w:before="120" w:after="120"/>
        <w:jc w:val="both"/>
        <w:rPr>
          <w:lang w:eastAsia="fr-FR" w:bidi="fr-FR"/>
        </w:rPr>
      </w:pPr>
    </w:p>
    <w:p w14:paraId="2BA98CAA" w14:textId="77777777" w:rsidR="00833514" w:rsidRPr="00C57F5E" w:rsidRDefault="00833514" w:rsidP="00833514">
      <w:pPr>
        <w:spacing w:before="120" w:after="120"/>
        <w:jc w:val="both"/>
      </w:pPr>
      <w:r w:rsidRPr="00C57F5E">
        <w:rPr>
          <w:lang w:eastAsia="fr-FR" w:bidi="fr-FR"/>
        </w:rPr>
        <w:t>Or, la production pétrolière dépend à 85</w:t>
      </w:r>
      <w:r>
        <w:rPr>
          <w:lang w:eastAsia="fr-FR" w:bidi="fr-FR"/>
        </w:rPr>
        <w:t>%</w:t>
      </w:r>
      <w:r w:rsidRPr="00C57F5E">
        <w:rPr>
          <w:lang w:eastAsia="fr-FR" w:bidi="fr-FR"/>
        </w:rPr>
        <w:t xml:space="preserve"> d’une seule pr</w:t>
      </w:r>
      <w:r w:rsidRPr="00C57F5E">
        <w:rPr>
          <w:lang w:eastAsia="fr-FR" w:bidi="fr-FR"/>
        </w:rPr>
        <w:t>o</w:t>
      </w:r>
      <w:r w:rsidRPr="00C57F5E">
        <w:rPr>
          <w:lang w:eastAsia="fr-FR" w:bidi="fr-FR"/>
        </w:rPr>
        <w:t>vince, l’Alberta.</w:t>
      </w:r>
    </w:p>
    <w:p w14:paraId="22861526" w14:textId="77777777" w:rsidR="00833514" w:rsidRPr="00C57F5E" w:rsidRDefault="00833514" w:rsidP="00833514">
      <w:pPr>
        <w:spacing w:before="120" w:after="120"/>
        <w:jc w:val="both"/>
      </w:pPr>
      <w:r w:rsidRPr="00C57F5E">
        <w:rPr>
          <w:lang w:eastAsia="fr-FR" w:bidi="fr-FR"/>
        </w:rPr>
        <w:t>Depuis 1973, les subventions du gouvernement fédéral aux provi</w:t>
      </w:r>
      <w:r w:rsidRPr="00C57F5E">
        <w:rPr>
          <w:lang w:eastAsia="fr-FR" w:bidi="fr-FR"/>
        </w:rPr>
        <w:t>n</w:t>
      </w:r>
      <w:r w:rsidRPr="00C57F5E">
        <w:rPr>
          <w:lang w:eastAsia="fr-FR" w:bidi="fr-FR"/>
        </w:rPr>
        <w:t>ces de l’est qui importent du pétrole vénézuélien ont permis de mai</w:t>
      </w:r>
      <w:r w:rsidRPr="00C57F5E">
        <w:rPr>
          <w:lang w:eastAsia="fr-FR" w:bidi="fr-FR"/>
        </w:rPr>
        <w:t>n</w:t>
      </w:r>
      <w:r w:rsidRPr="00C57F5E">
        <w:rPr>
          <w:lang w:eastAsia="fr-FR" w:bidi="fr-FR"/>
        </w:rPr>
        <w:t>tenir le prix du pétrole canadien à un niveau nettement inférieur au prix mondial. En octobre 1979, la diff</w:t>
      </w:r>
      <w:r w:rsidRPr="00C57F5E">
        <w:rPr>
          <w:lang w:eastAsia="fr-FR" w:bidi="fr-FR"/>
        </w:rPr>
        <w:t>é</w:t>
      </w:r>
      <w:r w:rsidRPr="00C57F5E">
        <w:rPr>
          <w:lang w:eastAsia="fr-FR" w:bidi="fr-FR"/>
        </w:rPr>
        <w:t xml:space="preserve">rence entre ces deux prix était de </w:t>
      </w:r>
      <w:r>
        <w:rPr>
          <w:lang w:eastAsia="fr-FR" w:bidi="fr-FR"/>
        </w:rPr>
        <w:t>$ </w:t>
      </w:r>
      <w:r w:rsidRPr="00C57F5E">
        <w:rPr>
          <w:lang w:eastAsia="fr-FR" w:bidi="fr-FR"/>
        </w:rPr>
        <w:t>11.22. Mais depuis le sommet de Tokyo, la bourgeoisie can</w:t>
      </w:r>
      <w:r w:rsidRPr="00C57F5E">
        <w:rPr>
          <w:lang w:eastAsia="fr-FR" w:bidi="fr-FR"/>
        </w:rPr>
        <w:t>a</w:t>
      </w:r>
      <w:r w:rsidRPr="00C57F5E">
        <w:rPr>
          <w:lang w:eastAsia="fr-FR" w:bidi="fr-FR"/>
        </w:rPr>
        <w:t>dienne a résolu d’adopter la stratégie américaine, basée sur une hausse pe</w:t>
      </w:r>
      <w:r w:rsidRPr="00C57F5E">
        <w:rPr>
          <w:lang w:eastAsia="fr-FR" w:bidi="fr-FR"/>
        </w:rPr>
        <w:t>r</w:t>
      </w:r>
      <w:r w:rsidRPr="00C57F5E">
        <w:rPr>
          <w:lang w:eastAsia="fr-FR" w:bidi="fr-FR"/>
        </w:rPr>
        <w:t xml:space="preserve">manente du prix du </w:t>
      </w:r>
      <w:r>
        <w:rPr>
          <w:lang w:eastAsia="fr-FR" w:bidi="fr-FR"/>
        </w:rPr>
        <w:t>pétrole pour revenir à l’autonom</w:t>
      </w:r>
      <w:r w:rsidRPr="00C57F5E">
        <w:rPr>
          <w:lang w:eastAsia="fr-FR" w:bidi="fr-FR"/>
        </w:rPr>
        <w:t>ie énergétique prévue pour 1990.</w:t>
      </w:r>
    </w:p>
    <w:p w14:paraId="0CE61FE9" w14:textId="77777777" w:rsidR="00833514" w:rsidRDefault="00833514" w:rsidP="00833514">
      <w:pPr>
        <w:spacing w:before="120" w:after="120"/>
        <w:jc w:val="both"/>
      </w:pPr>
      <w:r>
        <w:rPr>
          <w:lang w:eastAsia="fr-FR" w:bidi="fr-FR"/>
        </w:rPr>
        <w:br w:type="page"/>
      </w:r>
      <w:r w:rsidRPr="00C57F5E">
        <w:rPr>
          <w:lang w:eastAsia="fr-FR" w:bidi="fr-FR"/>
        </w:rPr>
        <w:lastRenderedPageBreak/>
        <w:t>Ceci signifie une hausse graduelle du prix intérieur pour r</w:t>
      </w:r>
      <w:r w:rsidRPr="00C57F5E">
        <w:rPr>
          <w:lang w:eastAsia="fr-FR" w:bidi="fr-FR"/>
        </w:rPr>
        <w:t>e</w:t>
      </w:r>
      <w:r w:rsidRPr="00C57F5E">
        <w:rPr>
          <w:lang w:eastAsia="fr-FR" w:bidi="fr-FR"/>
        </w:rPr>
        <w:t>joindre le prix mondial vers 1985, par l’ancien gouvernement conservateur. La politique des libéraux, quant à elle, ne diffère pas de celle des conservateurs pour ce qui est du fond mais pl</w:t>
      </w:r>
      <w:r w:rsidRPr="00C57F5E">
        <w:rPr>
          <w:lang w:eastAsia="fr-FR" w:bidi="fr-FR"/>
        </w:rPr>
        <w:t>u</w:t>
      </w:r>
      <w:r w:rsidRPr="00C57F5E">
        <w:rPr>
          <w:lang w:eastAsia="fr-FR" w:bidi="fr-FR"/>
        </w:rPr>
        <w:t xml:space="preserve">tôt pour ce qui est du </w:t>
      </w:r>
      <w:r w:rsidRPr="00DC79C3">
        <w:rPr>
          <w:i/>
        </w:rPr>
        <w:t>rythme d’application</w:t>
      </w:r>
      <w:r w:rsidRPr="00C57F5E">
        <w:t>.</w:t>
      </w:r>
    </w:p>
    <w:p w14:paraId="7362DD99" w14:textId="77777777" w:rsidR="00833514" w:rsidRDefault="00833514" w:rsidP="00833514">
      <w:pPr>
        <w:spacing w:before="120" w:after="120"/>
        <w:jc w:val="both"/>
      </w:pPr>
    </w:p>
    <w:p w14:paraId="32DC1A03" w14:textId="77777777" w:rsidR="00833514" w:rsidRPr="00C57F5E" w:rsidRDefault="00833514" w:rsidP="00833514">
      <w:pPr>
        <w:spacing w:before="120" w:after="120"/>
        <w:jc w:val="both"/>
      </w:pPr>
    </w:p>
    <w:p w14:paraId="40DEC06D" w14:textId="77777777" w:rsidR="00833514" w:rsidRPr="00C57F5E" w:rsidRDefault="000968E2" w:rsidP="00833514">
      <w:pPr>
        <w:pStyle w:val="fig"/>
        <w:rPr>
          <w:szCs w:val="2"/>
        </w:rPr>
      </w:pPr>
      <w:r w:rsidRPr="002C5175">
        <w:rPr>
          <w:noProof/>
          <w:szCs w:val="2"/>
        </w:rPr>
        <w:drawing>
          <wp:inline distT="0" distB="0" distL="0" distR="0" wp14:anchorId="678E0ADC" wp14:editId="4F43843F">
            <wp:extent cx="5029200" cy="11811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0" cy="1181100"/>
                    </a:xfrm>
                    <a:prstGeom prst="rect">
                      <a:avLst/>
                    </a:prstGeom>
                    <a:noFill/>
                    <a:ln>
                      <a:noFill/>
                    </a:ln>
                  </pic:spPr>
                </pic:pic>
              </a:graphicData>
            </a:graphic>
          </wp:inline>
        </w:drawing>
      </w:r>
    </w:p>
    <w:p w14:paraId="3C88FF8C" w14:textId="77777777" w:rsidR="00833514" w:rsidRDefault="00833514" w:rsidP="00833514">
      <w:pPr>
        <w:spacing w:before="120" w:after="120"/>
        <w:jc w:val="both"/>
        <w:rPr>
          <w:szCs w:val="2"/>
        </w:rPr>
      </w:pPr>
    </w:p>
    <w:p w14:paraId="6EC0718D" w14:textId="77777777" w:rsidR="00833514" w:rsidRDefault="00833514" w:rsidP="00833514">
      <w:pPr>
        <w:spacing w:before="120" w:after="120"/>
        <w:jc w:val="both"/>
        <w:rPr>
          <w:szCs w:val="2"/>
        </w:rPr>
      </w:pPr>
      <w:r>
        <w:rPr>
          <w:szCs w:val="2"/>
        </w:rPr>
        <w:t>[117]</w:t>
      </w:r>
    </w:p>
    <w:p w14:paraId="67D12A4D" w14:textId="77777777" w:rsidR="00833514" w:rsidRPr="00C57F5E" w:rsidRDefault="00833514" w:rsidP="00833514">
      <w:pPr>
        <w:spacing w:before="120" w:after="120"/>
        <w:jc w:val="both"/>
      </w:pPr>
      <w:r w:rsidRPr="00C57F5E">
        <w:rPr>
          <w:lang w:eastAsia="fr-FR" w:bidi="fr-FR"/>
        </w:rPr>
        <w:t>Mais cette politique énergétique ne fait pas l’unanimité. Il ne faut pas oublier que pour la première fois depuis l’établissement du syst</w:t>
      </w:r>
      <w:r w:rsidRPr="00C57F5E">
        <w:rPr>
          <w:lang w:eastAsia="fr-FR" w:bidi="fr-FR"/>
        </w:rPr>
        <w:t>è</w:t>
      </w:r>
      <w:r w:rsidRPr="00C57F5E">
        <w:rPr>
          <w:lang w:eastAsia="fr-FR" w:bidi="fr-FR"/>
        </w:rPr>
        <w:t>me de péréquation en 1967, l’Ontario bénéficiera cette année de la redistribution des revenus prov</w:t>
      </w:r>
      <w:r w:rsidRPr="00C57F5E">
        <w:rPr>
          <w:lang w:eastAsia="fr-FR" w:bidi="fr-FR"/>
        </w:rPr>
        <w:t>e</w:t>
      </w:r>
      <w:r>
        <w:rPr>
          <w:lang w:eastAsia="fr-FR" w:bidi="fr-FR"/>
        </w:rPr>
        <w:t xml:space="preserve">nant des provinces riches </w:t>
      </w:r>
      <w:r w:rsidRPr="00C57F5E">
        <w:rPr>
          <w:lang w:eastAsia="fr-FR" w:bidi="fr-FR"/>
        </w:rPr>
        <w:t xml:space="preserve">c’est-à-dire l’Alberta et la Colombie britannique. Ainsi, le Trésor de Queen’s Park recevra </w:t>
      </w:r>
      <w:r>
        <w:rPr>
          <w:lang w:eastAsia="fr-FR" w:bidi="fr-FR"/>
        </w:rPr>
        <w:t>$ </w:t>
      </w:r>
      <w:r w:rsidRPr="00C57F5E">
        <w:rPr>
          <w:lang w:eastAsia="fr-FR" w:bidi="fr-FR"/>
        </w:rPr>
        <w:t>500 millions d’Ottawa</w:t>
      </w:r>
      <w:r w:rsidRPr="00C57F5E">
        <w:t> ;</w:t>
      </w:r>
      <w:r w:rsidRPr="00C57F5E">
        <w:rPr>
          <w:lang w:eastAsia="fr-FR" w:bidi="fr-FR"/>
        </w:rPr>
        <w:t xml:space="preserve"> le Québec reçoit $1500 millions. Pour l’Ontario, principal consommateur de ce pétrole cela pourrait signifier la fin de sa position dominante dans l’État canadien. Pour le gouvernement fédéral, cette hausse sans redéfinition des régies de p</w:t>
      </w:r>
      <w:r w:rsidRPr="00C57F5E">
        <w:rPr>
          <w:lang w:eastAsia="fr-FR" w:bidi="fr-FR"/>
        </w:rPr>
        <w:t>é</w:t>
      </w:r>
      <w:r w:rsidRPr="00C57F5E">
        <w:rPr>
          <w:lang w:eastAsia="fr-FR" w:bidi="fr-FR"/>
        </w:rPr>
        <w:t>réquation et de partage de la valeur du pétrole canadien, l’obligerait à accepter des déficits budgétaires éno</w:t>
      </w:r>
      <w:r w:rsidRPr="00C57F5E">
        <w:rPr>
          <w:lang w:eastAsia="fr-FR" w:bidi="fr-FR"/>
        </w:rPr>
        <w:t>r</w:t>
      </w:r>
      <w:r w:rsidRPr="00C57F5E">
        <w:rPr>
          <w:lang w:eastAsia="fr-FR" w:bidi="fr-FR"/>
        </w:rPr>
        <w:t>mes, inacceptables dans l’état d’endettement actuel.</w:t>
      </w:r>
    </w:p>
    <w:p w14:paraId="5E50C462" w14:textId="77777777" w:rsidR="00833514" w:rsidRPr="00C57F5E" w:rsidRDefault="00833514" w:rsidP="00833514">
      <w:pPr>
        <w:spacing w:before="120" w:after="120"/>
        <w:jc w:val="both"/>
      </w:pPr>
      <w:r w:rsidRPr="00C57F5E">
        <w:rPr>
          <w:lang w:eastAsia="fr-FR" w:bidi="fr-FR"/>
        </w:rPr>
        <w:t xml:space="preserve">Aussi l’enjeu du débat concerne surtout </w:t>
      </w:r>
      <w:r w:rsidRPr="00DC79C3">
        <w:rPr>
          <w:i/>
        </w:rPr>
        <w:t>la formule de part</w:t>
      </w:r>
      <w:r w:rsidRPr="00DC79C3">
        <w:rPr>
          <w:i/>
        </w:rPr>
        <w:t>a</w:t>
      </w:r>
      <w:r w:rsidRPr="00DC79C3">
        <w:rPr>
          <w:i/>
        </w:rPr>
        <w:t>ge des revenus</w:t>
      </w:r>
      <w:r w:rsidRPr="00C57F5E">
        <w:rPr>
          <w:lang w:eastAsia="fr-FR" w:bidi="fr-FR"/>
        </w:rPr>
        <w:t xml:space="preserve"> issus de la hausse inévitable du prix intérieur. Jusqu’à présent, le partage a toujours favorisé les provinces productrices et les comp</w:t>
      </w:r>
      <w:r w:rsidRPr="00C57F5E">
        <w:rPr>
          <w:lang w:eastAsia="fr-FR" w:bidi="fr-FR"/>
        </w:rPr>
        <w:t>a</w:t>
      </w:r>
      <w:r w:rsidRPr="00C57F5E">
        <w:rPr>
          <w:lang w:eastAsia="fr-FR" w:bidi="fr-FR"/>
        </w:rPr>
        <w:t>gnies comme on peut le voir sur le tableau 5</w:t>
      </w:r>
      <w:r w:rsidRPr="00C57F5E">
        <w:t> :</w:t>
      </w:r>
    </w:p>
    <w:p w14:paraId="5B8AB978" w14:textId="77777777" w:rsidR="00833514" w:rsidRDefault="00833514" w:rsidP="00833514">
      <w:pPr>
        <w:spacing w:before="120" w:after="120"/>
        <w:jc w:val="both"/>
        <w:rPr>
          <w:lang w:eastAsia="fr-FR" w:bidi="fr-FR"/>
        </w:rPr>
      </w:pPr>
      <w:r>
        <w:rPr>
          <w:lang w:eastAsia="fr-FR" w:bidi="fr-FR"/>
        </w:rPr>
        <w:br w:type="page"/>
      </w:r>
    </w:p>
    <w:p w14:paraId="73FA1093" w14:textId="77777777" w:rsidR="00833514" w:rsidRDefault="00833514" w:rsidP="00833514">
      <w:pPr>
        <w:pStyle w:val="figtitre"/>
      </w:pPr>
      <w:r w:rsidRPr="00C57F5E">
        <w:t>TABLEAU 5</w:t>
      </w:r>
    </w:p>
    <w:p w14:paraId="5B5ACB64" w14:textId="77777777" w:rsidR="00833514" w:rsidRPr="00C57F5E" w:rsidRDefault="00833514" w:rsidP="00833514">
      <w:pPr>
        <w:pStyle w:val="figtitrest"/>
      </w:pPr>
      <w:r w:rsidRPr="00C57F5E">
        <w:t>À qui profitent les revenus du pétrole ? au Canada ?</w:t>
      </w:r>
    </w:p>
    <w:tbl>
      <w:tblPr>
        <w:tblW w:w="8640" w:type="dxa"/>
        <w:tblInd w:w="-680" w:type="dxa"/>
        <w:tblLayout w:type="fixed"/>
        <w:tblCellMar>
          <w:left w:w="40" w:type="dxa"/>
          <w:right w:w="40" w:type="dxa"/>
        </w:tblCellMar>
        <w:tblLook w:val="0000" w:firstRow="0" w:lastRow="0" w:firstColumn="0" w:lastColumn="0" w:noHBand="0" w:noVBand="0"/>
      </w:tblPr>
      <w:tblGrid>
        <w:gridCol w:w="2340"/>
        <w:gridCol w:w="900"/>
        <w:gridCol w:w="1170"/>
        <w:gridCol w:w="990"/>
        <w:gridCol w:w="1170"/>
        <w:gridCol w:w="1080"/>
        <w:gridCol w:w="990"/>
      </w:tblGrid>
      <w:tr w:rsidR="00833514" w:rsidRPr="00DD1F6D" w14:paraId="7408C9BF" w14:textId="77777777">
        <w:tblPrEx>
          <w:tblCellMar>
            <w:top w:w="0" w:type="dxa"/>
            <w:bottom w:w="0" w:type="dxa"/>
          </w:tblCellMar>
        </w:tblPrEx>
        <w:tc>
          <w:tcPr>
            <w:tcW w:w="2340" w:type="dxa"/>
            <w:vMerge w:val="restart"/>
            <w:tcBorders>
              <w:top w:val="single" w:sz="8" w:space="0" w:color="auto"/>
              <w:left w:val="nil"/>
              <w:right w:val="nil"/>
            </w:tcBorders>
            <w:shd w:val="clear" w:color="auto" w:fill="FFFFFF"/>
          </w:tcPr>
          <w:p w14:paraId="45399C10" w14:textId="77777777" w:rsidR="00833514" w:rsidRPr="00DD1F6D" w:rsidRDefault="00833514" w:rsidP="00833514">
            <w:pPr>
              <w:spacing w:before="60" w:after="60"/>
              <w:ind w:firstLine="0"/>
              <w:rPr>
                <w:sz w:val="24"/>
              </w:rPr>
            </w:pPr>
          </w:p>
        </w:tc>
        <w:tc>
          <w:tcPr>
            <w:tcW w:w="2070" w:type="dxa"/>
            <w:gridSpan w:val="2"/>
            <w:tcBorders>
              <w:top w:val="single" w:sz="8" w:space="0" w:color="auto"/>
              <w:left w:val="nil"/>
              <w:bottom w:val="single" w:sz="8" w:space="0" w:color="auto"/>
              <w:right w:val="nil"/>
            </w:tcBorders>
            <w:shd w:val="clear" w:color="auto" w:fill="EEECE1"/>
          </w:tcPr>
          <w:p w14:paraId="4E24D865" w14:textId="77777777" w:rsidR="00833514" w:rsidRPr="00DD1F6D" w:rsidRDefault="00833514" w:rsidP="00833514">
            <w:pPr>
              <w:spacing w:before="60" w:after="60"/>
              <w:ind w:firstLine="0"/>
              <w:jc w:val="center"/>
              <w:rPr>
                <w:sz w:val="24"/>
                <w:szCs w:val="36"/>
              </w:rPr>
            </w:pPr>
            <w:r>
              <w:rPr>
                <w:sz w:val="24"/>
                <w:szCs w:val="36"/>
              </w:rPr>
              <w:t>Sept. 1979</w:t>
            </w:r>
            <w:r>
              <w:rPr>
                <w:sz w:val="24"/>
                <w:szCs w:val="36"/>
              </w:rPr>
              <w:br/>
            </w:r>
            <w:r w:rsidRPr="00DD1F6D">
              <w:rPr>
                <w:sz w:val="24"/>
                <w:szCs w:val="36"/>
              </w:rPr>
              <w:t>$3,80</w:t>
            </w:r>
          </w:p>
        </w:tc>
        <w:tc>
          <w:tcPr>
            <w:tcW w:w="2160" w:type="dxa"/>
            <w:gridSpan w:val="2"/>
            <w:tcBorders>
              <w:top w:val="single" w:sz="8" w:space="0" w:color="auto"/>
              <w:left w:val="nil"/>
              <w:bottom w:val="single" w:sz="8" w:space="0" w:color="auto"/>
              <w:right w:val="nil"/>
            </w:tcBorders>
            <w:shd w:val="clear" w:color="auto" w:fill="EEECE1"/>
          </w:tcPr>
          <w:p w14:paraId="768E7893" w14:textId="77777777" w:rsidR="00833514" w:rsidRPr="00DD1F6D" w:rsidRDefault="00833514" w:rsidP="00833514">
            <w:pPr>
              <w:spacing w:before="60" w:after="60"/>
              <w:ind w:firstLine="0"/>
              <w:jc w:val="center"/>
              <w:rPr>
                <w:sz w:val="24"/>
                <w:szCs w:val="36"/>
              </w:rPr>
            </w:pPr>
            <w:r w:rsidRPr="00DD1F6D">
              <w:rPr>
                <w:sz w:val="24"/>
                <w:szCs w:val="36"/>
              </w:rPr>
              <w:t>Juillet 1979</w:t>
            </w:r>
            <w:r>
              <w:rPr>
                <w:sz w:val="24"/>
                <w:szCs w:val="36"/>
              </w:rPr>
              <w:br/>
              <w:t>$</w:t>
            </w:r>
            <w:r w:rsidRPr="00DD1F6D">
              <w:rPr>
                <w:sz w:val="24"/>
                <w:szCs w:val="36"/>
              </w:rPr>
              <w:t xml:space="preserve"> 13,75</w:t>
            </w:r>
          </w:p>
        </w:tc>
        <w:tc>
          <w:tcPr>
            <w:tcW w:w="2070" w:type="dxa"/>
            <w:gridSpan w:val="2"/>
            <w:tcBorders>
              <w:top w:val="single" w:sz="8" w:space="0" w:color="auto"/>
              <w:left w:val="nil"/>
              <w:bottom w:val="single" w:sz="8" w:space="0" w:color="auto"/>
              <w:right w:val="nil"/>
            </w:tcBorders>
            <w:shd w:val="clear" w:color="auto" w:fill="EEECE1"/>
          </w:tcPr>
          <w:p w14:paraId="52B49018" w14:textId="77777777" w:rsidR="00833514" w:rsidRPr="00DD1F6D" w:rsidRDefault="00833514" w:rsidP="00833514">
            <w:pPr>
              <w:spacing w:before="60" w:after="60"/>
              <w:ind w:firstLine="0"/>
              <w:jc w:val="center"/>
              <w:rPr>
                <w:sz w:val="24"/>
                <w:szCs w:val="36"/>
              </w:rPr>
            </w:pPr>
            <w:r w:rsidRPr="00DD1F6D">
              <w:rPr>
                <w:sz w:val="24"/>
                <w:szCs w:val="36"/>
              </w:rPr>
              <w:t>1980</w:t>
            </w:r>
            <w:r>
              <w:rPr>
                <w:sz w:val="24"/>
                <w:szCs w:val="36"/>
              </w:rPr>
              <w:br/>
            </w:r>
            <w:r w:rsidRPr="00DD1F6D">
              <w:rPr>
                <w:sz w:val="24"/>
                <w:szCs w:val="36"/>
              </w:rPr>
              <w:t>$ 20,00</w:t>
            </w:r>
          </w:p>
        </w:tc>
      </w:tr>
      <w:tr w:rsidR="00833514" w:rsidRPr="00DD1F6D" w14:paraId="596F5521" w14:textId="77777777">
        <w:tblPrEx>
          <w:tblCellMar>
            <w:top w:w="0" w:type="dxa"/>
            <w:bottom w:w="0" w:type="dxa"/>
          </w:tblCellMar>
        </w:tblPrEx>
        <w:tc>
          <w:tcPr>
            <w:tcW w:w="2340" w:type="dxa"/>
            <w:vMerge/>
            <w:tcBorders>
              <w:left w:val="nil"/>
              <w:bottom w:val="single" w:sz="8" w:space="0" w:color="auto"/>
              <w:right w:val="nil"/>
            </w:tcBorders>
            <w:shd w:val="clear" w:color="auto" w:fill="FFFFFF"/>
          </w:tcPr>
          <w:p w14:paraId="1030AD36" w14:textId="77777777" w:rsidR="00833514" w:rsidRPr="00DD1F6D" w:rsidRDefault="00833514" w:rsidP="00833514">
            <w:pPr>
              <w:spacing w:before="60" w:after="60"/>
              <w:ind w:firstLine="0"/>
              <w:rPr>
                <w:sz w:val="24"/>
              </w:rPr>
            </w:pPr>
          </w:p>
        </w:tc>
        <w:tc>
          <w:tcPr>
            <w:tcW w:w="900" w:type="dxa"/>
            <w:tcBorders>
              <w:top w:val="single" w:sz="8" w:space="0" w:color="auto"/>
              <w:left w:val="nil"/>
              <w:bottom w:val="single" w:sz="8" w:space="0" w:color="auto"/>
              <w:right w:val="nil"/>
            </w:tcBorders>
            <w:shd w:val="clear" w:color="auto" w:fill="EEECE1"/>
          </w:tcPr>
          <w:p w14:paraId="367197CE" w14:textId="77777777" w:rsidR="00833514" w:rsidRPr="00DD1F6D" w:rsidRDefault="00833514" w:rsidP="00833514">
            <w:pPr>
              <w:spacing w:before="60" w:after="60"/>
              <w:ind w:firstLine="0"/>
              <w:rPr>
                <w:sz w:val="24"/>
              </w:rPr>
            </w:pPr>
            <w:r w:rsidRPr="00DD1F6D">
              <w:rPr>
                <w:sz w:val="24"/>
                <w:szCs w:val="36"/>
              </w:rPr>
              <w:t>valeur</w:t>
            </w:r>
          </w:p>
        </w:tc>
        <w:tc>
          <w:tcPr>
            <w:tcW w:w="1170" w:type="dxa"/>
            <w:tcBorders>
              <w:top w:val="single" w:sz="8" w:space="0" w:color="auto"/>
              <w:left w:val="nil"/>
              <w:bottom w:val="single" w:sz="8" w:space="0" w:color="auto"/>
              <w:right w:val="nil"/>
            </w:tcBorders>
            <w:shd w:val="clear" w:color="auto" w:fill="EEECE1"/>
          </w:tcPr>
          <w:p w14:paraId="3ED9939A" w14:textId="77777777" w:rsidR="00833514" w:rsidRPr="00DD1F6D" w:rsidRDefault="00833514" w:rsidP="00833514">
            <w:pPr>
              <w:spacing w:before="60" w:after="60"/>
              <w:ind w:firstLine="0"/>
              <w:rPr>
                <w:sz w:val="24"/>
              </w:rPr>
            </w:pPr>
            <w:r w:rsidRPr="00DD1F6D">
              <w:rPr>
                <w:sz w:val="24"/>
              </w:rPr>
              <w:t>%</w:t>
            </w:r>
          </w:p>
        </w:tc>
        <w:tc>
          <w:tcPr>
            <w:tcW w:w="990" w:type="dxa"/>
            <w:tcBorders>
              <w:top w:val="single" w:sz="8" w:space="0" w:color="auto"/>
              <w:left w:val="nil"/>
              <w:bottom w:val="single" w:sz="8" w:space="0" w:color="auto"/>
              <w:right w:val="nil"/>
            </w:tcBorders>
            <w:shd w:val="clear" w:color="auto" w:fill="EEECE1"/>
          </w:tcPr>
          <w:p w14:paraId="3C0045A6" w14:textId="77777777" w:rsidR="00833514" w:rsidRPr="00DD1F6D" w:rsidRDefault="00833514" w:rsidP="00833514">
            <w:pPr>
              <w:spacing w:before="60" w:after="60"/>
              <w:ind w:firstLine="0"/>
              <w:rPr>
                <w:sz w:val="24"/>
              </w:rPr>
            </w:pPr>
            <w:r w:rsidRPr="00DD1F6D">
              <w:rPr>
                <w:sz w:val="24"/>
                <w:szCs w:val="36"/>
              </w:rPr>
              <w:t>valeur</w:t>
            </w:r>
          </w:p>
        </w:tc>
        <w:tc>
          <w:tcPr>
            <w:tcW w:w="1170" w:type="dxa"/>
            <w:tcBorders>
              <w:top w:val="single" w:sz="8" w:space="0" w:color="auto"/>
              <w:left w:val="nil"/>
              <w:bottom w:val="single" w:sz="8" w:space="0" w:color="auto"/>
              <w:right w:val="nil"/>
            </w:tcBorders>
            <w:shd w:val="clear" w:color="auto" w:fill="EEECE1"/>
          </w:tcPr>
          <w:p w14:paraId="717CCED0" w14:textId="77777777" w:rsidR="00833514" w:rsidRPr="00DD1F6D" w:rsidRDefault="00833514" w:rsidP="00833514">
            <w:pPr>
              <w:spacing w:before="60" w:after="60"/>
              <w:ind w:firstLine="0"/>
              <w:rPr>
                <w:sz w:val="24"/>
              </w:rPr>
            </w:pPr>
            <w:r w:rsidRPr="00DD1F6D">
              <w:rPr>
                <w:sz w:val="24"/>
              </w:rPr>
              <w:t>%</w:t>
            </w:r>
          </w:p>
        </w:tc>
        <w:tc>
          <w:tcPr>
            <w:tcW w:w="1080" w:type="dxa"/>
            <w:tcBorders>
              <w:top w:val="single" w:sz="8" w:space="0" w:color="auto"/>
              <w:left w:val="nil"/>
              <w:bottom w:val="single" w:sz="8" w:space="0" w:color="auto"/>
              <w:right w:val="nil"/>
            </w:tcBorders>
            <w:shd w:val="clear" w:color="auto" w:fill="EEECE1"/>
          </w:tcPr>
          <w:p w14:paraId="5C16F5C6" w14:textId="77777777" w:rsidR="00833514" w:rsidRPr="00DD1F6D" w:rsidRDefault="00833514" w:rsidP="00833514">
            <w:pPr>
              <w:spacing w:before="60" w:after="60"/>
              <w:ind w:firstLine="0"/>
              <w:rPr>
                <w:sz w:val="24"/>
              </w:rPr>
            </w:pPr>
          </w:p>
        </w:tc>
        <w:tc>
          <w:tcPr>
            <w:tcW w:w="990" w:type="dxa"/>
            <w:tcBorders>
              <w:top w:val="single" w:sz="8" w:space="0" w:color="auto"/>
              <w:left w:val="nil"/>
              <w:bottom w:val="single" w:sz="8" w:space="0" w:color="auto"/>
              <w:right w:val="nil"/>
            </w:tcBorders>
            <w:shd w:val="clear" w:color="auto" w:fill="EEECE1"/>
          </w:tcPr>
          <w:p w14:paraId="77DFA2A4" w14:textId="77777777" w:rsidR="00833514" w:rsidRPr="00DD1F6D" w:rsidRDefault="00833514" w:rsidP="00833514">
            <w:pPr>
              <w:spacing w:before="60" w:after="60"/>
              <w:ind w:firstLine="0"/>
              <w:rPr>
                <w:sz w:val="24"/>
              </w:rPr>
            </w:pPr>
            <w:r w:rsidRPr="00DD1F6D">
              <w:rPr>
                <w:sz w:val="24"/>
              </w:rPr>
              <w:t>%</w:t>
            </w:r>
          </w:p>
        </w:tc>
      </w:tr>
      <w:tr w:rsidR="00833514" w:rsidRPr="00DD1F6D" w14:paraId="5B039591" w14:textId="77777777">
        <w:tblPrEx>
          <w:tblCellMar>
            <w:top w:w="0" w:type="dxa"/>
            <w:bottom w:w="0" w:type="dxa"/>
          </w:tblCellMar>
        </w:tblPrEx>
        <w:tc>
          <w:tcPr>
            <w:tcW w:w="2340" w:type="dxa"/>
            <w:tcBorders>
              <w:top w:val="single" w:sz="8" w:space="0" w:color="auto"/>
              <w:left w:val="nil"/>
              <w:bottom w:val="nil"/>
              <w:right w:val="nil"/>
            </w:tcBorders>
            <w:shd w:val="clear" w:color="auto" w:fill="FFFFFF"/>
          </w:tcPr>
          <w:p w14:paraId="1F21AE07" w14:textId="77777777" w:rsidR="00833514" w:rsidRPr="00DD1F6D" w:rsidRDefault="00833514" w:rsidP="00833514">
            <w:pPr>
              <w:spacing w:before="60" w:after="60"/>
              <w:ind w:firstLine="0"/>
              <w:rPr>
                <w:sz w:val="24"/>
              </w:rPr>
            </w:pPr>
            <w:r w:rsidRPr="00DD1F6D">
              <w:rPr>
                <w:sz w:val="24"/>
                <w:szCs w:val="36"/>
              </w:rPr>
              <w:t>1. coûts</w:t>
            </w:r>
          </w:p>
        </w:tc>
        <w:tc>
          <w:tcPr>
            <w:tcW w:w="900" w:type="dxa"/>
            <w:tcBorders>
              <w:top w:val="single" w:sz="8" w:space="0" w:color="auto"/>
              <w:left w:val="nil"/>
              <w:bottom w:val="nil"/>
              <w:right w:val="nil"/>
            </w:tcBorders>
            <w:shd w:val="clear" w:color="auto" w:fill="FFFFFF"/>
          </w:tcPr>
          <w:p w14:paraId="6A1E109E" w14:textId="77777777" w:rsidR="00833514" w:rsidRPr="00DD1F6D" w:rsidRDefault="00833514" w:rsidP="00833514">
            <w:pPr>
              <w:spacing w:before="60" w:after="60"/>
              <w:ind w:right="288" w:firstLine="0"/>
              <w:jc w:val="right"/>
              <w:rPr>
                <w:sz w:val="24"/>
              </w:rPr>
            </w:pPr>
            <w:r w:rsidRPr="00DD1F6D">
              <w:rPr>
                <w:bCs/>
                <w:sz w:val="24"/>
                <w:szCs w:val="36"/>
              </w:rPr>
              <w:t>.50</w:t>
            </w:r>
          </w:p>
        </w:tc>
        <w:tc>
          <w:tcPr>
            <w:tcW w:w="1170" w:type="dxa"/>
            <w:tcBorders>
              <w:top w:val="single" w:sz="8" w:space="0" w:color="auto"/>
              <w:left w:val="nil"/>
              <w:bottom w:val="nil"/>
              <w:right w:val="nil"/>
            </w:tcBorders>
            <w:shd w:val="clear" w:color="auto" w:fill="FFFFFF"/>
          </w:tcPr>
          <w:p w14:paraId="1E706194" w14:textId="77777777" w:rsidR="00833514" w:rsidRPr="00CE72AC" w:rsidRDefault="00833514" w:rsidP="00833514">
            <w:pPr>
              <w:spacing w:before="60" w:after="60"/>
              <w:ind w:right="230" w:firstLine="0"/>
              <w:jc w:val="right"/>
              <w:rPr>
                <w:sz w:val="24"/>
                <w:szCs w:val="36"/>
              </w:rPr>
            </w:pPr>
            <w:r w:rsidRPr="00DD1F6D">
              <w:rPr>
                <w:sz w:val="24"/>
                <w:szCs w:val="36"/>
              </w:rPr>
              <w:t>13%</w:t>
            </w:r>
          </w:p>
        </w:tc>
        <w:tc>
          <w:tcPr>
            <w:tcW w:w="990" w:type="dxa"/>
            <w:tcBorders>
              <w:top w:val="single" w:sz="8" w:space="0" w:color="auto"/>
              <w:left w:val="nil"/>
              <w:bottom w:val="nil"/>
              <w:right w:val="nil"/>
            </w:tcBorders>
            <w:shd w:val="clear" w:color="auto" w:fill="FFFFFF"/>
          </w:tcPr>
          <w:p w14:paraId="585C3EFC" w14:textId="77777777" w:rsidR="00833514" w:rsidRPr="00DD1F6D" w:rsidRDefault="00833514" w:rsidP="00833514">
            <w:pPr>
              <w:spacing w:before="60" w:after="60"/>
              <w:ind w:right="288" w:firstLine="0"/>
              <w:jc w:val="right"/>
              <w:rPr>
                <w:sz w:val="24"/>
              </w:rPr>
            </w:pPr>
            <w:r w:rsidRPr="00DD1F6D">
              <w:rPr>
                <w:bCs/>
                <w:sz w:val="24"/>
                <w:szCs w:val="36"/>
              </w:rPr>
              <w:t>1.11</w:t>
            </w:r>
          </w:p>
        </w:tc>
        <w:tc>
          <w:tcPr>
            <w:tcW w:w="1170" w:type="dxa"/>
            <w:tcBorders>
              <w:top w:val="single" w:sz="8" w:space="0" w:color="auto"/>
              <w:left w:val="nil"/>
              <w:bottom w:val="nil"/>
              <w:right w:val="nil"/>
            </w:tcBorders>
            <w:shd w:val="clear" w:color="auto" w:fill="FFFFFF"/>
          </w:tcPr>
          <w:p w14:paraId="65E929AE" w14:textId="77777777" w:rsidR="00833514" w:rsidRPr="00DD1F6D" w:rsidRDefault="00833514" w:rsidP="00833514">
            <w:pPr>
              <w:spacing w:before="60" w:after="60"/>
              <w:ind w:right="230" w:firstLine="0"/>
              <w:jc w:val="right"/>
              <w:rPr>
                <w:sz w:val="24"/>
              </w:rPr>
            </w:pPr>
            <w:r w:rsidRPr="00DD1F6D">
              <w:rPr>
                <w:sz w:val="24"/>
                <w:szCs w:val="36"/>
              </w:rPr>
              <w:t>8%</w:t>
            </w:r>
          </w:p>
        </w:tc>
        <w:tc>
          <w:tcPr>
            <w:tcW w:w="1080" w:type="dxa"/>
            <w:tcBorders>
              <w:top w:val="single" w:sz="8" w:space="0" w:color="auto"/>
              <w:left w:val="nil"/>
              <w:bottom w:val="nil"/>
              <w:right w:val="nil"/>
            </w:tcBorders>
            <w:shd w:val="clear" w:color="auto" w:fill="FFFFFF"/>
          </w:tcPr>
          <w:p w14:paraId="3CF0D3C6" w14:textId="77777777" w:rsidR="00833514" w:rsidRPr="00DD1F6D" w:rsidRDefault="00833514" w:rsidP="00833514">
            <w:pPr>
              <w:spacing w:before="60" w:after="60"/>
              <w:ind w:right="288" w:firstLine="0"/>
              <w:jc w:val="right"/>
              <w:rPr>
                <w:sz w:val="24"/>
              </w:rPr>
            </w:pPr>
            <w:r w:rsidRPr="00DD1F6D">
              <w:rPr>
                <w:sz w:val="24"/>
                <w:szCs w:val="36"/>
              </w:rPr>
              <w:t>1,11</w:t>
            </w:r>
          </w:p>
        </w:tc>
        <w:tc>
          <w:tcPr>
            <w:tcW w:w="990" w:type="dxa"/>
            <w:tcBorders>
              <w:top w:val="single" w:sz="8" w:space="0" w:color="auto"/>
              <w:left w:val="nil"/>
              <w:bottom w:val="nil"/>
              <w:right w:val="nil"/>
            </w:tcBorders>
            <w:shd w:val="clear" w:color="auto" w:fill="FFFFFF"/>
          </w:tcPr>
          <w:p w14:paraId="7DF92B6B" w14:textId="77777777" w:rsidR="00833514" w:rsidRPr="00CE72AC" w:rsidRDefault="00833514" w:rsidP="00833514">
            <w:pPr>
              <w:spacing w:before="60" w:after="60"/>
              <w:ind w:right="230" w:firstLine="0"/>
              <w:jc w:val="right"/>
              <w:rPr>
                <w:sz w:val="24"/>
                <w:szCs w:val="36"/>
              </w:rPr>
            </w:pPr>
            <w:r w:rsidRPr="00DD1F6D">
              <w:rPr>
                <w:sz w:val="24"/>
                <w:szCs w:val="36"/>
              </w:rPr>
              <w:t>6%</w:t>
            </w:r>
          </w:p>
        </w:tc>
      </w:tr>
      <w:tr w:rsidR="00833514" w:rsidRPr="00DD1F6D" w14:paraId="7B20C84E" w14:textId="77777777">
        <w:tblPrEx>
          <w:tblCellMar>
            <w:top w:w="0" w:type="dxa"/>
            <w:bottom w:w="0" w:type="dxa"/>
          </w:tblCellMar>
        </w:tblPrEx>
        <w:tc>
          <w:tcPr>
            <w:tcW w:w="2340" w:type="dxa"/>
            <w:tcBorders>
              <w:top w:val="nil"/>
              <w:left w:val="nil"/>
              <w:bottom w:val="nil"/>
              <w:right w:val="nil"/>
            </w:tcBorders>
            <w:shd w:val="clear" w:color="auto" w:fill="FFFFFF"/>
          </w:tcPr>
          <w:p w14:paraId="338DB285" w14:textId="77777777" w:rsidR="00833514" w:rsidRPr="00DD1F6D" w:rsidRDefault="00833514" w:rsidP="00833514">
            <w:pPr>
              <w:spacing w:before="60" w:after="60"/>
              <w:ind w:firstLine="0"/>
              <w:rPr>
                <w:sz w:val="24"/>
              </w:rPr>
            </w:pPr>
            <w:r w:rsidRPr="00DD1F6D">
              <w:rPr>
                <w:sz w:val="24"/>
                <w:szCs w:val="36"/>
              </w:rPr>
              <w:t>2. taxes</w:t>
            </w:r>
            <w:r>
              <w:rPr>
                <w:sz w:val="24"/>
                <w:szCs w:val="36"/>
              </w:rPr>
              <w:t xml:space="preserve"> </w:t>
            </w:r>
            <w:r w:rsidRPr="00DD1F6D">
              <w:rPr>
                <w:sz w:val="24"/>
                <w:szCs w:val="36"/>
              </w:rPr>
              <w:t>fédér</w:t>
            </w:r>
            <w:r w:rsidRPr="00DD1F6D">
              <w:rPr>
                <w:sz w:val="24"/>
                <w:szCs w:val="36"/>
              </w:rPr>
              <w:t>a</w:t>
            </w:r>
            <w:r w:rsidRPr="00DD1F6D">
              <w:rPr>
                <w:sz w:val="24"/>
                <w:szCs w:val="36"/>
              </w:rPr>
              <w:t>les</w:t>
            </w:r>
          </w:p>
        </w:tc>
        <w:tc>
          <w:tcPr>
            <w:tcW w:w="900" w:type="dxa"/>
            <w:tcBorders>
              <w:top w:val="nil"/>
              <w:left w:val="nil"/>
              <w:bottom w:val="nil"/>
              <w:right w:val="nil"/>
            </w:tcBorders>
            <w:shd w:val="clear" w:color="auto" w:fill="FFFFFF"/>
          </w:tcPr>
          <w:p w14:paraId="5E065FCC" w14:textId="77777777" w:rsidR="00833514" w:rsidRPr="00DD1F6D" w:rsidRDefault="00833514" w:rsidP="00833514">
            <w:pPr>
              <w:spacing w:before="60" w:after="60"/>
              <w:ind w:right="288" w:firstLine="0"/>
              <w:jc w:val="right"/>
              <w:rPr>
                <w:sz w:val="24"/>
              </w:rPr>
            </w:pPr>
            <w:r w:rsidRPr="00DD1F6D">
              <w:rPr>
                <w:sz w:val="24"/>
                <w:szCs w:val="36"/>
              </w:rPr>
              <w:t>.30</w:t>
            </w:r>
          </w:p>
        </w:tc>
        <w:tc>
          <w:tcPr>
            <w:tcW w:w="1170" w:type="dxa"/>
            <w:tcBorders>
              <w:top w:val="nil"/>
              <w:left w:val="nil"/>
              <w:bottom w:val="nil"/>
              <w:right w:val="nil"/>
            </w:tcBorders>
            <w:shd w:val="clear" w:color="auto" w:fill="FFFFFF"/>
          </w:tcPr>
          <w:p w14:paraId="3595F9E4" w14:textId="77777777" w:rsidR="00833514" w:rsidRPr="00CE72AC" w:rsidRDefault="00833514" w:rsidP="00833514">
            <w:pPr>
              <w:spacing w:before="60" w:after="60"/>
              <w:ind w:right="230" w:firstLine="0"/>
              <w:jc w:val="right"/>
              <w:rPr>
                <w:sz w:val="24"/>
                <w:szCs w:val="36"/>
              </w:rPr>
            </w:pPr>
            <w:r w:rsidRPr="00DD1F6D">
              <w:rPr>
                <w:sz w:val="24"/>
                <w:szCs w:val="36"/>
              </w:rPr>
              <w:t>8%</w:t>
            </w:r>
          </w:p>
        </w:tc>
        <w:tc>
          <w:tcPr>
            <w:tcW w:w="990" w:type="dxa"/>
            <w:tcBorders>
              <w:top w:val="nil"/>
              <w:left w:val="nil"/>
              <w:bottom w:val="nil"/>
              <w:right w:val="nil"/>
            </w:tcBorders>
            <w:shd w:val="clear" w:color="auto" w:fill="FFFFFF"/>
          </w:tcPr>
          <w:p w14:paraId="55A05F11" w14:textId="77777777" w:rsidR="00833514" w:rsidRPr="00DD1F6D" w:rsidRDefault="00833514" w:rsidP="00833514">
            <w:pPr>
              <w:spacing w:before="60" w:after="60"/>
              <w:ind w:right="288" w:firstLine="0"/>
              <w:jc w:val="right"/>
              <w:rPr>
                <w:sz w:val="24"/>
              </w:rPr>
            </w:pPr>
            <w:r w:rsidRPr="00DD1F6D">
              <w:rPr>
                <w:bCs/>
                <w:sz w:val="24"/>
                <w:szCs w:val="36"/>
              </w:rPr>
              <w:t>1,60</w:t>
            </w:r>
          </w:p>
        </w:tc>
        <w:tc>
          <w:tcPr>
            <w:tcW w:w="1170" w:type="dxa"/>
            <w:tcBorders>
              <w:top w:val="nil"/>
              <w:left w:val="nil"/>
              <w:bottom w:val="nil"/>
              <w:right w:val="nil"/>
            </w:tcBorders>
            <w:shd w:val="clear" w:color="auto" w:fill="FFFFFF"/>
          </w:tcPr>
          <w:p w14:paraId="046BF4B5" w14:textId="77777777" w:rsidR="00833514" w:rsidRPr="00DD1F6D" w:rsidRDefault="00833514" w:rsidP="00833514">
            <w:pPr>
              <w:spacing w:before="60" w:after="60"/>
              <w:ind w:right="230" w:firstLine="0"/>
              <w:jc w:val="right"/>
              <w:rPr>
                <w:sz w:val="24"/>
              </w:rPr>
            </w:pPr>
            <w:r w:rsidRPr="00DD1F6D">
              <w:rPr>
                <w:sz w:val="24"/>
                <w:szCs w:val="36"/>
              </w:rPr>
              <w:t>12%</w:t>
            </w:r>
          </w:p>
        </w:tc>
        <w:tc>
          <w:tcPr>
            <w:tcW w:w="1080" w:type="dxa"/>
            <w:tcBorders>
              <w:top w:val="nil"/>
              <w:left w:val="nil"/>
              <w:bottom w:val="nil"/>
              <w:right w:val="nil"/>
            </w:tcBorders>
            <w:shd w:val="clear" w:color="auto" w:fill="FFFFFF"/>
          </w:tcPr>
          <w:p w14:paraId="3C977BF3" w14:textId="77777777" w:rsidR="00833514" w:rsidRPr="00DD1F6D" w:rsidRDefault="00833514" w:rsidP="00833514">
            <w:pPr>
              <w:spacing w:before="60" w:after="60"/>
              <w:ind w:right="288" w:firstLine="0"/>
              <w:jc w:val="right"/>
              <w:rPr>
                <w:sz w:val="24"/>
              </w:rPr>
            </w:pPr>
            <w:r w:rsidRPr="00DD1F6D">
              <w:rPr>
                <w:sz w:val="24"/>
                <w:szCs w:val="36"/>
              </w:rPr>
              <w:t>3,22</w:t>
            </w:r>
          </w:p>
        </w:tc>
        <w:tc>
          <w:tcPr>
            <w:tcW w:w="990" w:type="dxa"/>
            <w:tcBorders>
              <w:top w:val="nil"/>
              <w:left w:val="nil"/>
              <w:bottom w:val="nil"/>
              <w:right w:val="nil"/>
            </w:tcBorders>
            <w:shd w:val="clear" w:color="auto" w:fill="FFFFFF"/>
          </w:tcPr>
          <w:p w14:paraId="1A7AFBF6" w14:textId="77777777" w:rsidR="00833514" w:rsidRPr="00CE72AC" w:rsidRDefault="00833514" w:rsidP="00833514">
            <w:pPr>
              <w:spacing w:before="60" w:after="60"/>
              <w:ind w:right="230" w:firstLine="0"/>
              <w:jc w:val="right"/>
              <w:rPr>
                <w:sz w:val="24"/>
                <w:szCs w:val="36"/>
              </w:rPr>
            </w:pPr>
            <w:r w:rsidRPr="00DD1F6D">
              <w:rPr>
                <w:sz w:val="24"/>
                <w:szCs w:val="36"/>
              </w:rPr>
              <w:t>16%</w:t>
            </w:r>
          </w:p>
        </w:tc>
      </w:tr>
      <w:tr w:rsidR="00833514" w:rsidRPr="00DD1F6D" w14:paraId="15AFDABB" w14:textId="77777777">
        <w:tblPrEx>
          <w:tblCellMar>
            <w:top w:w="0" w:type="dxa"/>
            <w:bottom w:w="0" w:type="dxa"/>
          </w:tblCellMar>
        </w:tblPrEx>
        <w:tc>
          <w:tcPr>
            <w:tcW w:w="2340" w:type="dxa"/>
            <w:tcBorders>
              <w:top w:val="nil"/>
              <w:left w:val="nil"/>
              <w:right w:val="nil"/>
            </w:tcBorders>
            <w:shd w:val="clear" w:color="auto" w:fill="FFFFFF"/>
          </w:tcPr>
          <w:p w14:paraId="33B16487" w14:textId="77777777" w:rsidR="00833514" w:rsidRPr="00DD1F6D" w:rsidRDefault="00833514" w:rsidP="00833514">
            <w:pPr>
              <w:spacing w:before="60" w:after="60"/>
              <w:ind w:firstLine="0"/>
              <w:rPr>
                <w:sz w:val="24"/>
              </w:rPr>
            </w:pPr>
            <w:r w:rsidRPr="00DD1F6D">
              <w:rPr>
                <w:sz w:val="24"/>
                <w:szCs w:val="36"/>
              </w:rPr>
              <w:t>3. taxes</w:t>
            </w:r>
            <w:r>
              <w:rPr>
                <w:sz w:val="24"/>
                <w:szCs w:val="36"/>
              </w:rPr>
              <w:t xml:space="preserve"> </w:t>
            </w:r>
            <w:r w:rsidRPr="00DD1F6D">
              <w:rPr>
                <w:sz w:val="24"/>
                <w:szCs w:val="36"/>
              </w:rPr>
              <w:t>provinciales</w:t>
            </w:r>
          </w:p>
        </w:tc>
        <w:tc>
          <w:tcPr>
            <w:tcW w:w="900" w:type="dxa"/>
            <w:tcBorders>
              <w:top w:val="nil"/>
              <w:left w:val="nil"/>
              <w:right w:val="nil"/>
            </w:tcBorders>
            <w:shd w:val="clear" w:color="auto" w:fill="FFFFFF"/>
          </w:tcPr>
          <w:p w14:paraId="376A6330" w14:textId="77777777" w:rsidR="00833514" w:rsidRPr="00DD1F6D" w:rsidRDefault="00833514" w:rsidP="00833514">
            <w:pPr>
              <w:spacing w:before="60" w:after="60"/>
              <w:ind w:right="288" w:firstLine="0"/>
              <w:jc w:val="right"/>
              <w:rPr>
                <w:sz w:val="24"/>
              </w:rPr>
            </w:pPr>
            <w:r w:rsidRPr="00DD1F6D">
              <w:rPr>
                <w:sz w:val="24"/>
                <w:szCs w:val="36"/>
              </w:rPr>
              <w:t>.95</w:t>
            </w:r>
          </w:p>
        </w:tc>
        <w:tc>
          <w:tcPr>
            <w:tcW w:w="1170" w:type="dxa"/>
            <w:tcBorders>
              <w:top w:val="nil"/>
              <w:left w:val="nil"/>
              <w:right w:val="nil"/>
            </w:tcBorders>
            <w:shd w:val="clear" w:color="auto" w:fill="FFFFFF"/>
          </w:tcPr>
          <w:p w14:paraId="076C019B" w14:textId="77777777" w:rsidR="00833514" w:rsidRPr="00CE72AC" w:rsidRDefault="00833514" w:rsidP="00833514">
            <w:pPr>
              <w:spacing w:before="60" w:after="60"/>
              <w:ind w:right="230" w:firstLine="0"/>
              <w:jc w:val="right"/>
              <w:rPr>
                <w:sz w:val="24"/>
                <w:szCs w:val="36"/>
              </w:rPr>
            </w:pPr>
            <w:r w:rsidRPr="00DD1F6D">
              <w:rPr>
                <w:sz w:val="24"/>
                <w:szCs w:val="36"/>
              </w:rPr>
              <w:t>25%</w:t>
            </w:r>
          </w:p>
        </w:tc>
        <w:tc>
          <w:tcPr>
            <w:tcW w:w="990" w:type="dxa"/>
            <w:tcBorders>
              <w:top w:val="nil"/>
              <w:left w:val="nil"/>
              <w:right w:val="nil"/>
            </w:tcBorders>
            <w:shd w:val="clear" w:color="auto" w:fill="FFFFFF"/>
          </w:tcPr>
          <w:p w14:paraId="558650A1" w14:textId="77777777" w:rsidR="00833514" w:rsidRPr="00DD1F6D" w:rsidRDefault="00833514" w:rsidP="00833514">
            <w:pPr>
              <w:spacing w:before="60" w:after="60"/>
              <w:ind w:right="288" w:firstLine="0"/>
              <w:jc w:val="right"/>
              <w:rPr>
                <w:sz w:val="24"/>
              </w:rPr>
            </w:pPr>
            <w:r w:rsidRPr="00DD1F6D">
              <w:rPr>
                <w:bCs/>
                <w:sz w:val="24"/>
                <w:szCs w:val="36"/>
              </w:rPr>
              <w:t>5,45</w:t>
            </w:r>
          </w:p>
        </w:tc>
        <w:tc>
          <w:tcPr>
            <w:tcW w:w="1170" w:type="dxa"/>
            <w:tcBorders>
              <w:top w:val="nil"/>
              <w:left w:val="nil"/>
              <w:right w:val="nil"/>
            </w:tcBorders>
            <w:shd w:val="clear" w:color="auto" w:fill="FFFFFF"/>
          </w:tcPr>
          <w:p w14:paraId="1CD0089B" w14:textId="77777777" w:rsidR="00833514" w:rsidRPr="00DD1F6D" w:rsidRDefault="00833514" w:rsidP="00833514">
            <w:pPr>
              <w:spacing w:before="60" w:after="60"/>
              <w:ind w:right="230" w:firstLine="0"/>
              <w:jc w:val="right"/>
              <w:rPr>
                <w:sz w:val="24"/>
              </w:rPr>
            </w:pPr>
            <w:r w:rsidRPr="00DD1F6D">
              <w:rPr>
                <w:sz w:val="24"/>
                <w:szCs w:val="36"/>
              </w:rPr>
              <w:t>40%</w:t>
            </w:r>
          </w:p>
        </w:tc>
        <w:tc>
          <w:tcPr>
            <w:tcW w:w="1080" w:type="dxa"/>
            <w:tcBorders>
              <w:top w:val="nil"/>
              <w:left w:val="nil"/>
              <w:right w:val="nil"/>
            </w:tcBorders>
            <w:shd w:val="clear" w:color="auto" w:fill="FFFFFF"/>
          </w:tcPr>
          <w:p w14:paraId="73E6ED29" w14:textId="77777777" w:rsidR="00833514" w:rsidRPr="00DD1F6D" w:rsidRDefault="00833514" w:rsidP="00833514">
            <w:pPr>
              <w:spacing w:before="60" w:after="60"/>
              <w:ind w:right="288" w:firstLine="0"/>
              <w:jc w:val="right"/>
              <w:rPr>
                <w:sz w:val="24"/>
              </w:rPr>
            </w:pPr>
            <w:r w:rsidRPr="00DD1F6D">
              <w:rPr>
                <w:sz w:val="24"/>
                <w:szCs w:val="36"/>
              </w:rPr>
              <w:t>8,57</w:t>
            </w:r>
          </w:p>
        </w:tc>
        <w:tc>
          <w:tcPr>
            <w:tcW w:w="990" w:type="dxa"/>
            <w:tcBorders>
              <w:top w:val="nil"/>
              <w:left w:val="nil"/>
              <w:right w:val="nil"/>
            </w:tcBorders>
            <w:shd w:val="clear" w:color="auto" w:fill="FFFFFF"/>
          </w:tcPr>
          <w:p w14:paraId="7D252957" w14:textId="77777777" w:rsidR="00833514" w:rsidRPr="00CE72AC" w:rsidRDefault="00833514" w:rsidP="00833514">
            <w:pPr>
              <w:spacing w:before="60" w:after="60"/>
              <w:ind w:right="230" w:firstLine="0"/>
              <w:jc w:val="right"/>
              <w:rPr>
                <w:sz w:val="24"/>
                <w:szCs w:val="36"/>
              </w:rPr>
            </w:pPr>
            <w:r w:rsidRPr="00DD1F6D">
              <w:rPr>
                <w:sz w:val="24"/>
                <w:szCs w:val="36"/>
              </w:rPr>
              <w:t>43%</w:t>
            </w:r>
          </w:p>
        </w:tc>
      </w:tr>
      <w:tr w:rsidR="00833514" w:rsidRPr="00DD1F6D" w14:paraId="63F4B7B6" w14:textId="77777777">
        <w:tblPrEx>
          <w:tblCellMar>
            <w:top w:w="0" w:type="dxa"/>
            <w:bottom w:w="0" w:type="dxa"/>
          </w:tblCellMar>
        </w:tblPrEx>
        <w:tc>
          <w:tcPr>
            <w:tcW w:w="2340" w:type="dxa"/>
            <w:tcBorders>
              <w:top w:val="nil"/>
              <w:left w:val="nil"/>
              <w:bottom w:val="single" w:sz="8" w:space="0" w:color="auto"/>
              <w:right w:val="nil"/>
            </w:tcBorders>
            <w:shd w:val="clear" w:color="auto" w:fill="FFFFFF"/>
          </w:tcPr>
          <w:p w14:paraId="1666EF9C" w14:textId="77777777" w:rsidR="00833514" w:rsidRPr="00DD1F6D" w:rsidRDefault="00833514" w:rsidP="00833514">
            <w:pPr>
              <w:spacing w:before="60" w:after="60"/>
              <w:ind w:firstLine="0"/>
              <w:rPr>
                <w:sz w:val="24"/>
              </w:rPr>
            </w:pPr>
            <w:r w:rsidRPr="00DD1F6D">
              <w:rPr>
                <w:sz w:val="24"/>
                <w:szCs w:val="36"/>
              </w:rPr>
              <w:t>4. producteurs</w:t>
            </w:r>
          </w:p>
        </w:tc>
        <w:tc>
          <w:tcPr>
            <w:tcW w:w="900" w:type="dxa"/>
            <w:tcBorders>
              <w:top w:val="nil"/>
              <w:left w:val="nil"/>
              <w:bottom w:val="single" w:sz="8" w:space="0" w:color="auto"/>
              <w:right w:val="nil"/>
            </w:tcBorders>
            <w:shd w:val="clear" w:color="auto" w:fill="FFFFFF"/>
          </w:tcPr>
          <w:p w14:paraId="0602E594" w14:textId="77777777" w:rsidR="00833514" w:rsidRPr="00DD1F6D" w:rsidRDefault="00833514" w:rsidP="00833514">
            <w:pPr>
              <w:spacing w:before="60" w:after="60"/>
              <w:ind w:right="288" w:firstLine="0"/>
              <w:jc w:val="right"/>
              <w:rPr>
                <w:sz w:val="24"/>
              </w:rPr>
            </w:pPr>
            <w:r w:rsidRPr="00DD1F6D">
              <w:rPr>
                <w:sz w:val="24"/>
                <w:szCs w:val="36"/>
              </w:rPr>
              <w:t>2,05</w:t>
            </w:r>
          </w:p>
        </w:tc>
        <w:tc>
          <w:tcPr>
            <w:tcW w:w="1170" w:type="dxa"/>
            <w:tcBorders>
              <w:top w:val="nil"/>
              <w:left w:val="nil"/>
              <w:bottom w:val="single" w:sz="8" w:space="0" w:color="auto"/>
              <w:right w:val="nil"/>
            </w:tcBorders>
            <w:shd w:val="clear" w:color="auto" w:fill="FFFFFF"/>
          </w:tcPr>
          <w:p w14:paraId="382E1131" w14:textId="77777777" w:rsidR="00833514" w:rsidRPr="00CE72AC" w:rsidRDefault="00833514" w:rsidP="00833514">
            <w:pPr>
              <w:spacing w:before="60" w:after="60"/>
              <w:ind w:right="230" w:firstLine="0"/>
              <w:jc w:val="right"/>
              <w:rPr>
                <w:sz w:val="24"/>
                <w:szCs w:val="36"/>
              </w:rPr>
            </w:pPr>
            <w:r w:rsidRPr="00DD1F6D">
              <w:rPr>
                <w:sz w:val="24"/>
                <w:szCs w:val="36"/>
              </w:rPr>
              <w:t>54%</w:t>
            </w:r>
          </w:p>
        </w:tc>
        <w:tc>
          <w:tcPr>
            <w:tcW w:w="990" w:type="dxa"/>
            <w:tcBorders>
              <w:top w:val="nil"/>
              <w:left w:val="nil"/>
              <w:bottom w:val="single" w:sz="8" w:space="0" w:color="auto"/>
              <w:right w:val="nil"/>
            </w:tcBorders>
            <w:shd w:val="clear" w:color="auto" w:fill="FFFFFF"/>
          </w:tcPr>
          <w:p w14:paraId="5A566801" w14:textId="77777777" w:rsidR="00833514" w:rsidRPr="00DD1F6D" w:rsidRDefault="00833514" w:rsidP="00833514">
            <w:pPr>
              <w:spacing w:before="60" w:after="60"/>
              <w:ind w:right="288" w:firstLine="0"/>
              <w:jc w:val="right"/>
              <w:rPr>
                <w:sz w:val="24"/>
              </w:rPr>
            </w:pPr>
            <w:r w:rsidRPr="00DD1F6D">
              <w:rPr>
                <w:sz w:val="24"/>
                <w:szCs w:val="36"/>
              </w:rPr>
              <w:t>5,59</w:t>
            </w:r>
          </w:p>
        </w:tc>
        <w:tc>
          <w:tcPr>
            <w:tcW w:w="1170" w:type="dxa"/>
            <w:tcBorders>
              <w:top w:val="nil"/>
              <w:left w:val="nil"/>
              <w:bottom w:val="single" w:sz="8" w:space="0" w:color="auto"/>
              <w:right w:val="nil"/>
            </w:tcBorders>
            <w:shd w:val="clear" w:color="auto" w:fill="FFFFFF"/>
          </w:tcPr>
          <w:p w14:paraId="3FE0DB16" w14:textId="77777777" w:rsidR="00833514" w:rsidRPr="00DD1F6D" w:rsidRDefault="00833514" w:rsidP="00833514">
            <w:pPr>
              <w:spacing w:before="60" w:after="60"/>
              <w:ind w:right="230" w:firstLine="0"/>
              <w:jc w:val="right"/>
              <w:rPr>
                <w:sz w:val="24"/>
              </w:rPr>
            </w:pPr>
            <w:r w:rsidRPr="00DD1F6D">
              <w:rPr>
                <w:sz w:val="24"/>
                <w:szCs w:val="36"/>
              </w:rPr>
              <w:t>41 %</w:t>
            </w:r>
          </w:p>
        </w:tc>
        <w:tc>
          <w:tcPr>
            <w:tcW w:w="1080" w:type="dxa"/>
            <w:tcBorders>
              <w:top w:val="nil"/>
              <w:left w:val="nil"/>
              <w:bottom w:val="single" w:sz="8" w:space="0" w:color="auto"/>
              <w:right w:val="nil"/>
            </w:tcBorders>
            <w:shd w:val="clear" w:color="auto" w:fill="FFFFFF"/>
          </w:tcPr>
          <w:p w14:paraId="3041A3F9" w14:textId="77777777" w:rsidR="00833514" w:rsidRPr="00DD1F6D" w:rsidRDefault="00833514" w:rsidP="00833514">
            <w:pPr>
              <w:spacing w:before="60" w:after="60"/>
              <w:ind w:right="288" w:firstLine="0"/>
              <w:jc w:val="right"/>
              <w:rPr>
                <w:sz w:val="24"/>
              </w:rPr>
            </w:pPr>
            <w:r w:rsidRPr="00DD1F6D">
              <w:rPr>
                <w:sz w:val="24"/>
                <w:szCs w:val="36"/>
              </w:rPr>
              <w:t>7,09</w:t>
            </w:r>
          </w:p>
        </w:tc>
        <w:tc>
          <w:tcPr>
            <w:tcW w:w="990" w:type="dxa"/>
            <w:tcBorders>
              <w:top w:val="nil"/>
              <w:left w:val="nil"/>
              <w:bottom w:val="single" w:sz="8" w:space="0" w:color="auto"/>
              <w:right w:val="nil"/>
            </w:tcBorders>
            <w:shd w:val="clear" w:color="auto" w:fill="FFFFFF"/>
          </w:tcPr>
          <w:p w14:paraId="613C5E26" w14:textId="77777777" w:rsidR="00833514" w:rsidRPr="00CE72AC" w:rsidRDefault="00833514" w:rsidP="00833514">
            <w:pPr>
              <w:spacing w:before="60" w:after="60"/>
              <w:ind w:right="230" w:firstLine="0"/>
              <w:jc w:val="right"/>
              <w:rPr>
                <w:sz w:val="24"/>
                <w:szCs w:val="36"/>
              </w:rPr>
            </w:pPr>
            <w:r w:rsidRPr="00DD1F6D">
              <w:rPr>
                <w:sz w:val="24"/>
                <w:szCs w:val="36"/>
              </w:rPr>
              <w:t>35%</w:t>
            </w:r>
          </w:p>
        </w:tc>
      </w:tr>
    </w:tbl>
    <w:p w14:paraId="3E38AE23" w14:textId="77777777" w:rsidR="00833514" w:rsidRDefault="00833514" w:rsidP="00833514">
      <w:pPr>
        <w:pStyle w:val="figst1"/>
      </w:pPr>
      <w:r w:rsidRPr="00DC79C3">
        <w:t xml:space="preserve">Source : </w:t>
      </w:r>
      <w:r w:rsidRPr="00CE72AC">
        <w:rPr>
          <w:i/>
          <w:u w:val="single"/>
        </w:rPr>
        <w:t>Financial Post</w:t>
      </w:r>
      <w:r w:rsidRPr="00DC79C3">
        <w:t>, 7/8/79</w:t>
      </w:r>
    </w:p>
    <w:p w14:paraId="1F7D5992" w14:textId="77777777" w:rsidR="00833514" w:rsidRDefault="00833514" w:rsidP="00833514">
      <w:pPr>
        <w:spacing w:before="120" w:after="120"/>
        <w:jc w:val="both"/>
      </w:pPr>
    </w:p>
    <w:p w14:paraId="26E1FC40" w14:textId="77777777" w:rsidR="00833514" w:rsidRDefault="00833514" w:rsidP="00833514">
      <w:pPr>
        <w:spacing w:before="120" w:after="120"/>
        <w:jc w:val="both"/>
      </w:pPr>
      <w:r>
        <w:t>[118]</w:t>
      </w:r>
    </w:p>
    <w:p w14:paraId="4696DE4B" w14:textId="77777777" w:rsidR="00833514" w:rsidRPr="00C57F5E" w:rsidRDefault="00833514" w:rsidP="00833514">
      <w:pPr>
        <w:spacing w:before="120" w:after="120"/>
        <w:jc w:val="both"/>
      </w:pPr>
      <w:r w:rsidRPr="00C57F5E">
        <w:rPr>
          <w:lang w:eastAsia="fr-FR" w:bidi="fr-FR"/>
        </w:rPr>
        <w:t>À la lecture de ce tableau, on comprend l’importance pour le go</w:t>
      </w:r>
      <w:r w:rsidRPr="00C57F5E">
        <w:rPr>
          <w:lang w:eastAsia="fr-FR" w:bidi="fr-FR"/>
        </w:rPr>
        <w:t>u</w:t>
      </w:r>
      <w:r w:rsidRPr="00C57F5E">
        <w:rPr>
          <w:lang w:eastAsia="fr-FR" w:bidi="fr-FR"/>
        </w:rPr>
        <w:t>vernement fédéral de modifier les règles de partage surtout dans une p</w:t>
      </w:r>
      <w:r w:rsidRPr="00C57F5E">
        <w:rPr>
          <w:lang w:eastAsia="fr-FR" w:bidi="fr-FR"/>
        </w:rPr>
        <w:t>é</w:t>
      </w:r>
      <w:r w:rsidRPr="00C57F5E">
        <w:rPr>
          <w:lang w:eastAsia="fr-FR" w:bidi="fr-FR"/>
        </w:rPr>
        <w:t>riode où les déficits budgétaires fédéraux atteignent des sommets</w:t>
      </w:r>
      <w:r w:rsidRPr="00C57F5E">
        <w:t> ;</w:t>
      </w:r>
      <w:r w:rsidRPr="00C57F5E">
        <w:rPr>
          <w:lang w:eastAsia="fr-FR" w:bidi="fr-FR"/>
        </w:rPr>
        <w:t xml:space="preserve"> en 1979, ce déficit sera de plus de 10 mi</w:t>
      </w:r>
      <w:r w:rsidRPr="00C57F5E">
        <w:rPr>
          <w:lang w:eastAsia="fr-FR" w:bidi="fr-FR"/>
        </w:rPr>
        <w:t>l</w:t>
      </w:r>
      <w:r w:rsidRPr="00C57F5E">
        <w:rPr>
          <w:lang w:eastAsia="fr-FR" w:bidi="fr-FR"/>
        </w:rPr>
        <w:t>liards de dollars.</w:t>
      </w:r>
    </w:p>
    <w:p w14:paraId="24DAC22F" w14:textId="77777777" w:rsidR="00833514" w:rsidRPr="00C57F5E" w:rsidRDefault="00833514" w:rsidP="00833514">
      <w:pPr>
        <w:spacing w:before="120" w:after="120"/>
        <w:jc w:val="both"/>
      </w:pPr>
      <w:r w:rsidRPr="00C57F5E">
        <w:rPr>
          <w:lang w:eastAsia="fr-FR" w:bidi="fr-FR"/>
        </w:rPr>
        <w:t>Devant la résistance du gouvernement albertain, appuyé par la bourgeoisie pétrolière américaine, la bourgeoisie régionale de l’ouest et le gouvernement du Québec, le gouvernement de Clark n’avait pas d’autre choix que d’augmenter sa taxe de vente sur l’essence pour a</w:t>
      </w:r>
      <w:r w:rsidRPr="00C57F5E">
        <w:rPr>
          <w:lang w:eastAsia="fr-FR" w:bidi="fr-FR"/>
        </w:rPr>
        <w:t>l</w:t>
      </w:r>
      <w:r w:rsidRPr="00C57F5E">
        <w:rPr>
          <w:lang w:eastAsia="fr-FR" w:bidi="fr-FR"/>
        </w:rPr>
        <w:t>ler chercher une plus grande partie de la valeur du pétrole</w:t>
      </w:r>
      <w:r>
        <w:t> </w:t>
      </w:r>
      <w:r>
        <w:rPr>
          <w:rStyle w:val="Appelnotedebasdep"/>
        </w:rPr>
        <w:footnoteReference w:id="13"/>
      </w:r>
      <w:r w:rsidRPr="00C57F5E">
        <w:rPr>
          <w:lang w:eastAsia="fr-FR" w:bidi="fr-FR"/>
        </w:rPr>
        <w:t>.</w:t>
      </w:r>
    </w:p>
    <w:p w14:paraId="77583DDE" w14:textId="77777777" w:rsidR="00833514" w:rsidRPr="00C57F5E" w:rsidRDefault="00833514" w:rsidP="00833514">
      <w:pPr>
        <w:spacing w:before="120" w:after="120"/>
        <w:jc w:val="both"/>
      </w:pPr>
      <w:r w:rsidRPr="00C57F5E">
        <w:rPr>
          <w:lang w:eastAsia="fr-FR" w:bidi="fr-FR"/>
        </w:rPr>
        <w:t>Le gouvernement de Trudeau va donc tenter, tout en retardant la hausse de sa taxe, de négocier un nouveau partage des revenus du p</w:t>
      </w:r>
      <w:r w:rsidRPr="00C57F5E">
        <w:rPr>
          <w:lang w:eastAsia="fr-FR" w:bidi="fr-FR"/>
        </w:rPr>
        <w:t>é</w:t>
      </w:r>
      <w:r w:rsidRPr="00C57F5E">
        <w:rPr>
          <w:lang w:eastAsia="fr-FR" w:bidi="fr-FR"/>
        </w:rPr>
        <w:t>tr</w:t>
      </w:r>
      <w:r w:rsidRPr="00C57F5E">
        <w:rPr>
          <w:lang w:eastAsia="fr-FR" w:bidi="fr-FR"/>
        </w:rPr>
        <w:t>o</w:t>
      </w:r>
      <w:r w:rsidRPr="00C57F5E">
        <w:rPr>
          <w:lang w:eastAsia="fr-FR" w:bidi="fr-FR"/>
        </w:rPr>
        <w:t>le comme le conseillait le Conseil économique du Canada</w:t>
      </w:r>
      <w:r w:rsidRPr="00C57F5E">
        <w:t> :</w:t>
      </w:r>
      <w:r w:rsidRPr="00C57F5E">
        <w:rPr>
          <w:lang w:eastAsia="fr-FR" w:bidi="fr-FR"/>
        </w:rPr>
        <w:t xml:space="preserve"> dans don 16e rapport annuel intitulé </w:t>
      </w:r>
      <w:r w:rsidRPr="00C57F5E">
        <w:t>« </w:t>
      </w:r>
      <w:r w:rsidRPr="00C57F5E">
        <w:rPr>
          <w:lang w:eastAsia="fr-FR" w:bidi="fr-FR"/>
        </w:rPr>
        <w:t>Le fardeau de l’inertie</w:t>
      </w:r>
      <w:r w:rsidRPr="00C57F5E">
        <w:t> » :</w:t>
      </w:r>
    </w:p>
    <w:p w14:paraId="0F4A61B7" w14:textId="77777777" w:rsidR="00833514" w:rsidRDefault="00833514" w:rsidP="00833514">
      <w:pPr>
        <w:spacing w:before="120" w:after="120"/>
        <w:jc w:val="both"/>
        <w:rPr>
          <w:lang w:eastAsia="fr-FR" w:bidi="fr-FR"/>
        </w:rPr>
      </w:pPr>
      <w:r w:rsidRPr="00C57F5E">
        <w:rPr>
          <w:lang w:eastAsia="fr-FR" w:bidi="fr-FR"/>
        </w:rPr>
        <w:t>Nous recommandons que le gouvernement fédéral s’engage à m</w:t>
      </w:r>
      <w:r w:rsidRPr="00C57F5E">
        <w:rPr>
          <w:lang w:eastAsia="fr-FR" w:bidi="fr-FR"/>
        </w:rPr>
        <w:t>a</w:t>
      </w:r>
      <w:r w:rsidRPr="00C57F5E">
        <w:rPr>
          <w:lang w:eastAsia="fr-FR" w:bidi="fr-FR"/>
        </w:rPr>
        <w:t>jorer chaque année les prix pétroliers intérieurs de quelques quatre do</w:t>
      </w:r>
      <w:r w:rsidRPr="00C57F5E">
        <w:rPr>
          <w:lang w:eastAsia="fr-FR" w:bidi="fr-FR"/>
        </w:rPr>
        <w:t>l</w:t>
      </w:r>
      <w:r w:rsidRPr="00C57F5E">
        <w:rPr>
          <w:lang w:eastAsia="fr-FR" w:bidi="fr-FR"/>
        </w:rPr>
        <w:t xml:space="preserve">lars par baril pour rejoindre les cours mondiaux en vigueur en 1985 ou 1986, compte tenu des majorations du prix moyen du pétrole aux </w:t>
      </w:r>
      <w:r w:rsidRPr="00C57F5E">
        <w:t>État</w:t>
      </w:r>
      <w:r w:rsidRPr="00C57F5E">
        <w:rPr>
          <w:lang w:eastAsia="fr-FR" w:bidi="fr-FR"/>
        </w:rPr>
        <w:t>s-Unis. (p. 94).</w:t>
      </w:r>
    </w:p>
    <w:p w14:paraId="33936AE5" w14:textId="77777777" w:rsidR="00833514" w:rsidRPr="00C57F5E" w:rsidRDefault="00833514" w:rsidP="00833514">
      <w:pPr>
        <w:spacing w:before="120" w:after="120"/>
        <w:jc w:val="both"/>
      </w:pPr>
    </w:p>
    <w:p w14:paraId="39789C9F" w14:textId="77777777" w:rsidR="00833514" w:rsidRPr="00C57F5E" w:rsidRDefault="00833514" w:rsidP="00833514">
      <w:pPr>
        <w:pStyle w:val="Grillecouleur-Accent1"/>
        <w:rPr>
          <w:lang w:eastAsia="fr-FR" w:bidi="fr-FR"/>
        </w:rPr>
      </w:pPr>
      <w:r w:rsidRPr="00C57F5E">
        <w:rPr>
          <w:lang w:eastAsia="fr-FR" w:bidi="fr-FR"/>
        </w:rPr>
        <w:t>Nous recommandons que les premiers ministres, de toute urgence, entreprennent une analyse à moyen terme des problèmes d’ordre budgétaire qui se posent entre les gouvernements fédéral et provinciaux, en vue d’avancer le plus possible la renégociation des ententes qui do</w:t>
      </w:r>
      <w:r w:rsidRPr="00C57F5E">
        <w:rPr>
          <w:lang w:eastAsia="fr-FR" w:bidi="fr-FR"/>
        </w:rPr>
        <w:t>i</w:t>
      </w:r>
      <w:r w:rsidRPr="00C57F5E">
        <w:rPr>
          <w:lang w:eastAsia="fr-FR" w:bidi="fr-FR"/>
        </w:rPr>
        <w:t>vent prendre fin en 1982.</w:t>
      </w:r>
      <w:r w:rsidRPr="008D10FE">
        <w:t xml:space="preserve"> (Conclusions et recommandations, p. 107).</w:t>
      </w:r>
    </w:p>
    <w:p w14:paraId="631D59E6" w14:textId="77777777" w:rsidR="00833514" w:rsidRDefault="00833514" w:rsidP="00833514">
      <w:pPr>
        <w:pStyle w:val="Grillecouleur-Accent1"/>
      </w:pPr>
      <w:r w:rsidRPr="00C57F5E">
        <w:rPr>
          <w:lang w:eastAsia="fr-FR" w:bidi="fr-FR"/>
        </w:rPr>
        <w:t>L’issu de cette confrontation sera déterminante quant à la restructuration de l’économie canadienne et l’avenir même de l’État canadien.</w:t>
      </w:r>
      <w:r>
        <w:t> </w:t>
      </w:r>
      <w:r>
        <w:rPr>
          <w:rStyle w:val="Appelnotedebasdep"/>
        </w:rPr>
        <w:footnoteReference w:id="14"/>
      </w:r>
    </w:p>
    <w:p w14:paraId="780EBA19" w14:textId="77777777" w:rsidR="00833514" w:rsidRPr="00C57F5E" w:rsidRDefault="00833514" w:rsidP="00833514">
      <w:pPr>
        <w:pStyle w:val="Grillecouleur-Accent1"/>
      </w:pPr>
    </w:p>
    <w:p w14:paraId="68064059" w14:textId="77777777" w:rsidR="00833514" w:rsidRPr="00C57F5E" w:rsidRDefault="00833514" w:rsidP="00833514">
      <w:pPr>
        <w:pStyle w:val="auteur"/>
      </w:pPr>
      <w:r w:rsidRPr="00C57F5E">
        <w:t>Pierre Paquette</w:t>
      </w:r>
    </w:p>
    <w:p w14:paraId="52DF8C7E" w14:textId="77777777" w:rsidR="00833514" w:rsidRDefault="00833514" w:rsidP="00833514">
      <w:pPr>
        <w:spacing w:before="120" w:after="120"/>
        <w:jc w:val="both"/>
        <w:rPr>
          <w:szCs w:val="2"/>
        </w:rPr>
      </w:pPr>
    </w:p>
    <w:p w14:paraId="651DA8C5" w14:textId="77777777" w:rsidR="00833514" w:rsidRPr="00C57F5E" w:rsidRDefault="000968E2" w:rsidP="00833514">
      <w:pPr>
        <w:pStyle w:val="fig"/>
      </w:pPr>
      <w:r>
        <w:rPr>
          <w:noProof/>
        </w:rPr>
        <w:drawing>
          <wp:inline distT="0" distB="0" distL="0" distR="0" wp14:anchorId="6C35350F" wp14:editId="504167ED">
            <wp:extent cx="3187700" cy="1930400"/>
            <wp:effectExtent l="12700" t="1270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7700" cy="1930400"/>
                    </a:xfrm>
                    <a:prstGeom prst="rect">
                      <a:avLst/>
                    </a:prstGeom>
                    <a:noFill/>
                    <a:ln w="12700" cmpd="sng">
                      <a:solidFill>
                        <a:srgbClr val="000000"/>
                      </a:solidFill>
                      <a:miter lim="800000"/>
                      <a:headEnd/>
                      <a:tailEnd/>
                    </a:ln>
                    <a:effectLst/>
                  </pic:spPr>
                </pic:pic>
              </a:graphicData>
            </a:graphic>
          </wp:inline>
        </w:drawing>
      </w:r>
    </w:p>
    <w:p w14:paraId="3DE07618" w14:textId="77777777" w:rsidR="00833514" w:rsidRPr="00C57F5E" w:rsidRDefault="00833514" w:rsidP="00833514">
      <w:pPr>
        <w:spacing w:before="120" w:after="120"/>
        <w:jc w:val="both"/>
        <w:rPr>
          <w:szCs w:val="2"/>
        </w:rPr>
      </w:pPr>
    </w:p>
    <w:p w14:paraId="671F391A" w14:textId="77777777" w:rsidR="00833514" w:rsidRDefault="00833514" w:rsidP="00833514">
      <w:pPr>
        <w:pStyle w:val="p"/>
      </w:pPr>
      <w:r>
        <w:t>[119]</w:t>
      </w:r>
    </w:p>
    <w:p w14:paraId="33DE981A" w14:textId="77777777" w:rsidR="00833514" w:rsidRPr="00E07116" w:rsidRDefault="00833514" w:rsidP="00833514">
      <w:pPr>
        <w:jc w:val="both"/>
      </w:pPr>
    </w:p>
    <w:p w14:paraId="7D7DE85F" w14:textId="77777777" w:rsidR="00833514" w:rsidRDefault="00833514" w:rsidP="00833514">
      <w:pPr>
        <w:jc w:val="both"/>
      </w:pPr>
      <w:r w:rsidRPr="003F76B5">
        <w:rPr>
          <w:b/>
          <w:color w:val="FF0000"/>
        </w:rPr>
        <w:t>NOTES</w:t>
      </w:r>
    </w:p>
    <w:p w14:paraId="624876ED" w14:textId="77777777" w:rsidR="00833514" w:rsidRDefault="00833514" w:rsidP="00833514">
      <w:pPr>
        <w:jc w:val="both"/>
      </w:pPr>
    </w:p>
    <w:p w14:paraId="11074A07" w14:textId="77777777" w:rsidR="00833514" w:rsidRPr="00E07116" w:rsidRDefault="00833514" w:rsidP="00833514">
      <w:pPr>
        <w:jc w:val="both"/>
      </w:pPr>
      <w:r>
        <w:t>Pour faciliter la consultation des notes en fin de textes, nous les avons toutes converties, dans cette édition numérique des Classiques des sciences sociales, en notes de bas de page. JMT.</w:t>
      </w:r>
    </w:p>
    <w:sectPr w:rsidR="00833514" w:rsidRPr="00E07116" w:rsidSect="00833514">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8DA8" w14:textId="77777777" w:rsidR="00857E52" w:rsidRDefault="00857E52">
      <w:r>
        <w:separator/>
      </w:r>
    </w:p>
  </w:endnote>
  <w:endnote w:type="continuationSeparator" w:id="0">
    <w:p w14:paraId="6F9724DB" w14:textId="77777777" w:rsidR="00857E52" w:rsidRDefault="0085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0263" w14:textId="77777777" w:rsidR="00857E52" w:rsidRDefault="00857E52">
      <w:pPr>
        <w:ind w:firstLine="0"/>
      </w:pPr>
      <w:r>
        <w:separator/>
      </w:r>
    </w:p>
  </w:footnote>
  <w:footnote w:type="continuationSeparator" w:id="0">
    <w:p w14:paraId="462D4AA5" w14:textId="77777777" w:rsidR="00857E52" w:rsidRDefault="00857E52">
      <w:pPr>
        <w:ind w:firstLine="0"/>
      </w:pPr>
      <w:r>
        <w:separator/>
      </w:r>
    </w:p>
  </w:footnote>
  <w:footnote w:id="1">
    <w:p w14:paraId="36C61C53" w14:textId="77777777" w:rsidR="00833514" w:rsidRDefault="00833514" w:rsidP="00833514">
      <w:pPr>
        <w:pStyle w:val="Notedebasdepage"/>
      </w:pPr>
      <w:r>
        <w:rPr>
          <w:rStyle w:val="Appelnotedebasdep"/>
        </w:rPr>
        <w:footnoteRef/>
      </w:r>
      <w:r>
        <w:t xml:space="preserve"> </w:t>
      </w:r>
      <w:r>
        <w:tab/>
      </w:r>
      <w:r w:rsidRPr="00C57F5E">
        <w:rPr>
          <w:lang w:eastAsia="fr-FR" w:bidi="fr-FR"/>
        </w:rPr>
        <w:t xml:space="preserve">L’expression « pétro-prospérité » est de Louis Puiseux qui a écrit </w:t>
      </w:r>
      <w:r w:rsidRPr="00CE72AC">
        <w:rPr>
          <w:i/>
          <w:iCs/>
        </w:rPr>
        <w:t>la Babel nucléaire,</w:t>
      </w:r>
      <w:r w:rsidRPr="00C57F5E">
        <w:rPr>
          <w:lang w:eastAsia="fr-FR" w:bidi="fr-FR"/>
        </w:rPr>
        <w:t xml:space="preserve"> aux éditions Galilée, 1977.</w:t>
      </w:r>
    </w:p>
  </w:footnote>
  <w:footnote w:id="2">
    <w:p w14:paraId="693968F4" w14:textId="77777777" w:rsidR="00833514" w:rsidRDefault="00833514" w:rsidP="00833514">
      <w:pPr>
        <w:pStyle w:val="Notedebasdepage"/>
      </w:pPr>
      <w:r>
        <w:rPr>
          <w:rStyle w:val="Appelnotedebasdep"/>
        </w:rPr>
        <w:footnoteRef/>
      </w:r>
      <w:r>
        <w:t xml:space="preserve"> </w:t>
      </w:r>
      <w:r>
        <w:tab/>
      </w:r>
      <w:r w:rsidRPr="00C57F5E">
        <w:rPr>
          <w:lang w:eastAsia="fr-FR" w:bidi="fr-FR"/>
        </w:rPr>
        <w:t xml:space="preserve">J.M. Chevalier, </w:t>
      </w:r>
      <w:r w:rsidRPr="00CE72AC">
        <w:rPr>
          <w:i/>
          <w:iCs/>
        </w:rPr>
        <w:t>Le nouvel enjeu pétrolier</w:t>
      </w:r>
      <w:r w:rsidRPr="00C57F5E">
        <w:rPr>
          <w:lang w:eastAsia="fr-FR" w:bidi="fr-FR"/>
        </w:rPr>
        <w:t>, p. 16.</w:t>
      </w:r>
    </w:p>
  </w:footnote>
  <w:footnote w:id="3">
    <w:p w14:paraId="5A7C3972" w14:textId="77777777" w:rsidR="00833514" w:rsidRDefault="00833514" w:rsidP="00833514">
      <w:pPr>
        <w:pStyle w:val="Notedebasdepage"/>
      </w:pPr>
      <w:r>
        <w:rPr>
          <w:rStyle w:val="Appelnotedebasdep"/>
        </w:rPr>
        <w:footnoteRef/>
      </w:r>
      <w:r>
        <w:t xml:space="preserve"> </w:t>
      </w:r>
      <w:r>
        <w:tab/>
      </w:r>
      <w:r w:rsidRPr="00C57F5E">
        <w:rPr>
          <w:lang w:eastAsia="fr-FR" w:bidi="fr-FR"/>
        </w:rPr>
        <w:t>Le terme « État pétrolier » me semble préférable à celui de « pays producteurs de pétrole » pour éviter d’assimiler les pays qui possèdent les gis</w:t>
      </w:r>
      <w:r w:rsidRPr="00C57F5E">
        <w:rPr>
          <w:lang w:eastAsia="fr-FR" w:bidi="fr-FR"/>
        </w:rPr>
        <w:t>e</w:t>
      </w:r>
      <w:r w:rsidRPr="00C57F5E">
        <w:rPr>
          <w:lang w:eastAsia="fr-FR" w:bidi="fr-FR"/>
        </w:rPr>
        <w:t xml:space="preserve">ments et les exploitent effectivement, avec les pays qui se contentent de la prospérité des gisements laissant leur exploitation à des compagnies étrangères. Voir, J.P. Angelier, </w:t>
      </w:r>
      <w:r w:rsidRPr="00CE72AC">
        <w:rPr>
          <w:i/>
          <w:iCs/>
        </w:rPr>
        <w:t>La rente pétr</w:t>
      </w:r>
      <w:r w:rsidRPr="00CE72AC">
        <w:rPr>
          <w:i/>
          <w:iCs/>
        </w:rPr>
        <w:t>o</w:t>
      </w:r>
      <w:r w:rsidRPr="00CE72AC">
        <w:rPr>
          <w:i/>
          <w:iCs/>
        </w:rPr>
        <w:t>lière,</w:t>
      </w:r>
      <w:r w:rsidRPr="00C57F5E">
        <w:rPr>
          <w:lang w:eastAsia="fr-FR" w:bidi="fr-FR"/>
        </w:rPr>
        <w:t xml:space="preserve"> éd. CNRS, p. 8.</w:t>
      </w:r>
    </w:p>
  </w:footnote>
  <w:footnote w:id="4">
    <w:p w14:paraId="6AB4BE53" w14:textId="77777777" w:rsidR="00833514" w:rsidRDefault="00833514" w:rsidP="00833514">
      <w:pPr>
        <w:pStyle w:val="Notedebasdepage"/>
      </w:pPr>
      <w:r>
        <w:rPr>
          <w:rStyle w:val="Appelnotedebasdep"/>
        </w:rPr>
        <w:footnoteRef/>
      </w:r>
      <w:r>
        <w:t xml:space="preserve"> </w:t>
      </w:r>
      <w:r>
        <w:tab/>
      </w:r>
      <w:r w:rsidRPr="00CE72AC">
        <w:t>Autre exemple de ce pouvoir de concertation</w:t>
      </w:r>
      <w:r w:rsidRPr="00CE72AC">
        <w:rPr>
          <w:i/>
          <w:iCs/>
        </w:rPr>
        <w:t> :</w:t>
      </w:r>
      <w:r w:rsidRPr="00CE72AC">
        <w:t xml:space="preserve"> la revue britann</w:t>
      </w:r>
      <w:r w:rsidRPr="00CE72AC">
        <w:t>i</w:t>
      </w:r>
      <w:r w:rsidRPr="00CE72AC">
        <w:t xml:space="preserve">que </w:t>
      </w:r>
      <w:r w:rsidRPr="00CE72AC">
        <w:rPr>
          <w:i/>
          <w:iCs/>
        </w:rPr>
        <w:t>« </w:t>
      </w:r>
      <w:r w:rsidRPr="00CE72AC">
        <w:t>The Economist</w:t>
      </w:r>
      <w:r w:rsidRPr="00CE72AC">
        <w:rPr>
          <w:i/>
          <w:iCs/>
        </w:rPr>
        <w:t> »</w:t>
      </w:r>
      <w:r w:rsidRPr="00CE72AC">
        <w:t xml:space="preserve"> du 22 septembre 1979 écrivait</w:t>
      </w:r>
      <w:r w:rsidRPr="00CE72AC">
        <w:rPr>
          <w:i/>
          <w:iCs/>
        </w:rPr>
        <w:t> :</w:t>
      </w:r>
      <w:r w:rsidRPr="00CE72AC">
        <w:t xml:space="preserve"> </w:t>
      </w:r>
      <w:r w:rsidRPr="00CE72AC">
        <w:rPr>
          <w:i/>
          <w:iCs/>
        </w:rPr>
        <w:t>« </w:t>
      </w:r>
      <w:r w:rsidRPr="00C57F5E">
        <w:rPr>
          <w:lang w:eastAsia="fr-FR" w:bidi="fr-FR"/>
        </w:rPr>
        <w:t>Une su</w:t>
      </w:r>
      <w:r w:rsidRPr="00C57F5E">
        <w:rPr>
          <w:lang w:eastAsia="fr-FR" w:bidi="fr-FR"/>
        </w:rPr>
        <w:t>p</w:t>
      </w:r>
      <w:r w:rsidRPr="00C57F5E">
        <w:rPr>
          <w:lang w:eastAsia="fr-FR" w:bidi="fr-FR"/>
        </w:rPr>
        <w:t>pression d’environ 3</w:t>
      </w:r>
      <w:r>
        <w:rPr>
          <w:lang w:eastAsia="fr-FR" w:bidi="fr-FR"/>
        </w:rPr>
        <w:t>%</w:t>
      </w:r>
      <w:r w:rsidRPr="00C57F5E">
        <w:rPr>
          <w:lang w:eastAsia="fr-FR" w:bidi="fr-FR"/>
        </w:rPr>
        <w:t xml:space="preserve"> de l’offre mondiale pendant quelques semaines a pu faire monter les prix de 60</w:t>
      </w:r>
      <w:r>
        <w:rPr>
          <w:lang w:eastAsia="fr-FR" w:bidi="fr-FR"/>
        </w:rPr>
        <w:t>%</w:t>
      </w:r>
      <w:r w:rsidRPr="00C57F5E">
        <w:rPr>
          <w:lang w:eastAsia="fr-FR" w:bidi="fr-FR"/>
        </w:rPr>
        <w:t xml:space="preserve"> au cours de l’été 79.</w:t>
      </w:r>
    </w:p>
  </w:footnote>
  <w:footnote w:id="5">
    <w:p w14:paraId="32F67648" w14:textId="77777777" w:rsidR="00833514" w:rsidRDefault="00833514" w:rsidP="00833514">
      <w:pPr>
        <w:pStyle w:val="Notedebasdepage"/>
      </w:pPr>
      <w:r>
        <w:rPr>
          <w:rStyle w:val="Appelnotedebasdep"/>
        </w:rPr>
        <w:footnoteRef/>
      </w:r>
      <w:r>
        <w:t xml:space="preserve"> </w:t>
      </w:r>
      <w:r>
        <w:tab/>
      </w:r>
      <w:r w:rsidRPr="00C57F5E">
        <w:rPr>
          <w:lang w:eastAsia="fr-FR" w:bidi="fr-FR"/>
        </w:rPr>
        <w:t>Pour plus de détails sur le nucléaire, voir l’excellente brochure du comité Énergie/environnement de la Société pour vaincre la poll</w:t>
      </w:r>
      <w:r w:rsidRPr="00C57F5E">
        <w:rPr>
          <w:lang w:eastAsia="fr-FR" w:bidi="fr-FR"/>
        </w:rPr>
        <w:t>u</w:t>
      </w:r>
      <w:r w:rsidRPr="00C57F5E">
        <w:rPr>
          <w:lang w:eastAsia="fr-FR" w:bidi="fr-FR"/>
        </w:rPr>
        <w:t>tion (S VP), Tout ce que vous aimeriez ne pas savoir sur l’énergie nucléa</w:t>
      </w:r>
      <w:r w:rsidRPr="00C57F5E">
        <w:rPr>
          <w:lang w:eastAsia="fr-FR" w:bidi="fr-FR"/>
        </w:rPr>
        <w:t>i</w:t>
      </w:r>
      <w:r w:rsidRPr="00C57F5E">
        <w:rPr>
          <w:lang w:eastAsia="fr-FR" w:bidi="fr-FR"/>
        </w:rPr>
        <w:t>re,</w:t>
      </w:r>
      <w:r w:rsidRPr="00CE72AC">
        <w:t xml:space="preserve"> 1976.</w:t>
      </w:r>
    </w:p>
  </w:footnote>
  <w:footnote w:id="6">
    <w:p w14:paraId="342472DC" w14:textId="77777777" w:rsidR="00833514" w:rsidRDefault="00833514" w:rsidP="00833514">
      <w:pPr>
        <w:pStyle w:val="Notedebasdepage"/>
      </w:pPr>
      <w:r>
        <w:rPr>
          <w:rStyle w:val="Appelnotedebasdep"/>
        </w:rPr>
        <w:footnoteRef/>
      </w:r>
      <w:r>
        <w:t xml:space="preserve"> </w:t>
      </w:r>
      <w:r>
        <w:tab/>
      </w:r>
      <w:r w:rsidRPr="00C57F5E">
        <w:rPr>
          <w:lang w:eastAsia="fr-FR" w:bidi="fr-FR"/>
        </w:rPr>
        <w:t>La Royalty ou redevance est un versement effectué au propriétaire du gisement du fait de l’épuisement du pétrole.</w:t>
      </w:r>
    </w:p>
  </w:footnote>
  <w:footnote w:id="7">
    <w:p w14:paraId="75573F6E" w14:textId="77777777" w:rsidR="00833514" w:rsidRDefault="00833514" w:rsidP="00833514">
      <w:pPr>
        <w:pStyle w:val="Notedebasdepage"/>
      </w:pPr>
      <w:r>
        <w:rPr>
          <w:rStyle w:val="Appelnotedebasdep"/>
        </w:rPr>
        <w:footnoteRef/>
      </w:r>
      <w:r>
        <w:t xml:space="preserve"> </w:t>
      </w:r>
      <w:r>
        <w:tab/>
      </w:r>
      <w:r w:rsidRPr="00C57F5E">
        <w:rPr>
          <w:lang w:eastAsia="fr-FR" w:bidi="fr-FR"/>
        </w:rPr>
        <w:t>Au Canada, il est possible de déduire de son revenu imposable ju</w:t>
      </w:r>
      <w:r w:rsidRPr="00C57F5E">
        <w:rPr>
          <w:lang w:eastAsia="fr-FR" w:bidi="fr-FR"/>
        </w:rPr>
        <w:t>s</w:t>
      </w:r>
      <w:r w:rsidRPr="00C57F5E">
        <w:rPr>
          <w:lang w:eastAsia="fr-FR" w:bidi="fr-FR"/>
        </w:rPr>
        <w:t>qu’à 100</w:t>
      </w:r>
      <w:r>
        <w:rPr>
          <w:lang w:eastAsia="fr-FR" w:bidi="fr-FR"/>
        </w:rPr>
        <w:t>%</w:t>
      </w:r>
      <w:r w:rsidRPr="00C57F5E">
        <w:rPr>
          <w:lang w:eastAsia="fr-FR" w:bidi="fr-FR"/>
        </w:rPr>
        <w:t xml:space="preserve"> de la somme investie à titre de frais d’exploration, de frais de forage d’un puits de pétrole ou de gaz naturel (Drilling funds). Avis aux intéressé(e)s !</w:t>
      </w:r>
    </w:p>
  </w:footnote>
  <w:footnote w:id="8">
    <w:p w14:paraId="2F29532D" w14:textId="77777777" w:rsidR="00833514" w:rsidRDefault="00833514" w:rsidP="00833514">
      <w:pPr>
        <w:pStyle w:val="Notedebasdepage"/>
      </w:pPr>
      <w:r>
        <w:rPr>
          <w:rStyle w:val="Appelnotedebasdep"/>
        </w:rPr>
        <w:footnoteRef/>
      </w:r>
      <w:r>
        <w:t xml:space="preserve"> </w:t>
      </w:r>
      <w:r>
        <w:tab/>
      </w:r>
      <w:r w:rsidRPr="00C57F5E">
        <w:rPr>
          <w:lang w:eastAsia="fr-FR" w:bidi="fr-FR"/>
        </w:rPr>
        <w:t xml:space="preserve">John Blair, </w:t>
      </w:r>
      <w:r w:rsidRPr="00CE72AC">
        <w:rPr>
          <w:i/>
          <w:iCs/>
        </w:rPr>
        <w:t>The Control of O</w:t>
      </w:r>
      <w:r>
        <w:rPr>
          <w:i/>
          <w:iCs/>
        </w:rPr>
        <w:t>il</w:t>
      </w:r>
      <w:r w:rsidRPr="00CE72AC">
        <w:rPr>
          <w:i/>
          <w:iCs/>
        </w:rPr>
        <w:t>,</w:t>
      </w:r>
      <w:r w:rsidRPr="00C57F5E">
        <w:rPr>
          <w:lang w:eastAsia="fr-FR" w:bidi="fr-FR"/>
        </w:rPr>
        <w:t xml:space="preserve"> N.Y. 1976, cité par Louis Pu</w:t>
      </w:r>
      <w:r w:rsidRPr="00C57F5E">
        <w:rPr>
          <w:lang w:eastAsia="fr-FR" w:bidi="fr-FR"/>
        </w:rPr>
        <w:t>i</w:t>
      </w:r>
      <w:r w:rsidRPr="00C57F5E">
        <w:rPr>
          <w:lang w:eastAsia="fr-FR" w:bidi="fr-FR"/>
        </w:rPr>
        <w:t>seux.</w:t>
      </w:r>
    </w:p>
  </w:footnote>
  <w:footnote w:id="9">
    <w:p w14:paraId="5F68B4B2" w14:textId="77777777" w:rsidR="00833514" w:rsidRDefault="00833514" w:rsidP="00833514">
      <w:pPr>
        <w:pStyle w:val="Notedebasdepage"/>
      </w:pPr>
      <w:r>
        <w:rPr>
          <w:rStyle w:val="Appelnotedebasdep"/>
        </w:rPr>
        <w:footnoteRef/>
      </w:r>
      <w:r>
        <w:t xml:space="preserve"> </w:t>
      </w:r>
      <w:r>
        <w:tab/>
      </w:r>
      <w:r w:rsidRPr="00C57F5E">
        <w:rPr>
          <w:lang w:eastAsia="fr-FR" w:bidi="fr-FR"/>
        </w:rPr>
        <w:t xml:space="preserve">En 1971, le coût pour découvrir un baril de pétrole supplémentaire était estimé à 3 cents pour le Golf persique et à </w:t>
      </w:r>
      <w:r>
        <w:rPr>
          <w:lang w:eastAsia="fr-FR" w:bidi="fr-FR"/>
        </w:rPr>
        <w:t>$ </w:t>
      </w:r>
      <w:r w:rsidRPr="00C57F5E">
        <w:rPr>
          <w:lang w:eastAsia="fr-FR" w:bidi="fr-FR"/>
        </w:rPr>
        <w:t>1.10 pour les États-Unis.</w:t>
      </w:r>
    </w:p>
  </w:footnote>
  <w:footnote w:id="10">
    <w:p w14:paraId="4EE8F837" w14:textId="77777777" w:rsidR="00833514" w:rsidRDefault="00833514" w:rsidP="00833514">
      <w:pPr>
        <w:pStyle w:val="Notedebasdepage"/>
      </w:pPr>
      <w:r>
        <w:rPr>
          <w:rStyle w:val="Appelnotedebasdep"/>
        </w:rPr>
        <w:footnoteRef/>
      </w:r>
      <w:r>
        <w:t xml:space="preserve"> </w:t>
      </w:r>
      <w:r>
        <w:tab/>
      </w:r>
      <w:r w:rsidRPr="00C57F5E">
        <w:rPr>
          <w:lang w:eastAsia="fr-FR" w:bidi="fr-FR"/>
        </w:rPr>
        <w:t xml:space="preserve">Robert Boyer, « La crise actuelle : une mise au point... », dans </w:t>
      </w:r>
      <w:r w:rsidRPr="00CE72AC">
        <w:rPr>
          <w:i/>
          <w:iCs/>
        </w:rPr>
        <w:t>Cr</w:t>
      </w:r>
      <w:r w:rsidRPr="00CE72AC">
        <w:rPr>
          <w:i/>
          <w:iCs/>
        </w:rPr>
        <w:t>i</w:t>
      </w:r>
      <w:r w:rsidRPr="00CE72AC">
        <w:rPr>
          <w:i/>
          <w:iCs/>
        </w:rPr>
        <w:t>tiques de l’économie politique,</w:t>
      </w:r>
      <w:r w:rsidRPr="00C57F5E">
        <w:rPr>
          <w:lang w:eastAsia="fr-FR" w:bidi="fr-FR"/>
        </w:rPr>
        <w:t xml:space="preserve"> nouvelle série, no</w:t>
      </w:r>
      <w:r>
        <w:rPr>
          <w:lang w:eastAsia="fr-FR" w:bidi="fr-FR"/>
        </w:rPr>
        <w:t> </w:t>
      </w:r>
      <w:r w:rsidRPr="00C57F5E">
        <w:rPr>
          <w:lang w:eastAsia="fr-FR" w:bidi="fr-FR"/>
        </w:rPr>
        <w:t>7-8, p. 84.</w:t>
      </w:r>
    </w:p>
  </w:footnote>
  <w:footnote w:id="11">
    <w:p w14:paraId="5A8730DE" w14:textId="77777777" w:rsidR="00833514" w:rsidRDefault="00833514" w:rsidP="00833514">
      <w:pPr>
        <w:pStyle w:val="Notedebasdepage"/>
      </w:pPr>
      <w:r>
        <w:rPr>
          <w:rStyle w:val="Appelnotedebasdep"/>
        </w:rPr>
        <w:footnoteRef/>
      </w:r>
      <w:r>
        <w:t xml:space="preserve"> </w:t>
      </w:r>
      <w:r>
        <w:tab/>
      </w:r>
      <w:r w:rsidRPr="00C57F5E">
        <w:rPr>
          <w:lang w:eastAsia="fr-FR" w:bidi="fr-FR"/>
        </w:rPr>
        <w:t>En décembre 1979, les premiers signes avant-coureurs d’une surabondance temporaire de pétrole sur le marché mondial se sont manifestés par l’effondrement des prix sur le marché libre de Rotte</w:t>
      </w:r>
      <w:r w:rsidRPr="00C57F5E">
        <w:rPr>
          <w:lang w:eastAsia="fr-FR" w:bidi="fr-FR"/>
        </w:rPr>
        <w:t>r</w:t>
      </w:r>
      <w:r w:rsidRPr="00C57F5E">
        <w:rPr>
          <w:lang w:eastAsia="fr-FR" w:bidi="fr-FR"/>
        </w:rPr>
        <w:t xml:space="preserve">dam </w:t>
      </w:r>
      <w:r w:rsidRPr="00CE72AC">
        <w:rPr>
          <w:i/>
          <w:iCs/>
        </w:rPr>
        <w:t>(La Presse,</w:t>
      </w:r>
      <w:r w:rsidRPr="00C57F5E">
        <w:rPr>
          <w:lang w:eastAsia="fr-FR" w:bidi="fr-FR"/>
        </w:rPr>
        <w:t xml:space="preserve"> 14 déc. 1979).</w:t>
      </w:r>
    </w:p>
  </w:footnote>
  <w:footnote w:id="12">
    <w:p w14:paraId="0F6A9B27" w14:textId="77777777" w:rsidR="00833514" w:rsidRDefault="00833514" w:rsidP="00833514">
      <w:pPr>
        <w:pStyle w:val="Notedebasdepage"/>
      </w:pPr>
      <w:r>
        <w:rPr>
          <w:rStyle w:val="Appelnotedebasdep"/>
        </w:rPr>
        <w:footnoteRef/>
      </w:r>
      <w:r>
        <w:t xml:space="preserve"> </w:t>
      </w:r>
      <w:r>
        <w:tab/>
      </w:r>
      <w:r w:rsidRPr="00C57F5E">
        <w:rPr>
          <w:lang w:eastAsia="fr-FR" w:bidi="fr-FR"/>
        </w:rPr>
        <w:t>Pierre Paquette, « Histoire et caractéristiques de l’impérialisme c</w:t>
      </w:r>
      <w:r w:rsidRPr="00C57F5E">
        <w:rPr>
          <w:lang w:eastAsia="fr-FR" w:bidi="fr-FR"/>
        </w:rPr>
        <w:t>a</w:t>
      </w:r>
      <w:r w:rsidRPr="00C57F5E">
        <w:rPr>
          <w:lang w:eastAsia="fr-FR" w:bidi="fr-FR"/>
        </w:rPr>
        <w:t xml:space="preserve">nadien », dans </w:t>
      </w:r>
      <w:r w:rsidRPr="00CE72AC">
        <w:rPr>
          <w:i/>
          <w:iCs/>
        </w:rPr>
        <w:t>Interventions critiques,</w:t>
      </w:r>
      <w:r w:rsidRPr="00C57F5E">
        <w:rPr>
          <w:lang w:eastAsia="fr-FR" w:bidi="fr-FR"/>
        </w:rPr>
        <w:t xml:space="preserve"> no 2, automne 78.</w:t>
      </w:r>
    </w:p>
  </w:footnote>
  <w:footnote w:id="13">
    <w:p w14:paraId="07CEED3B" w14:textId="77777777" w:rsidR="00833514" w:rsidRDefault="00833514" w:rsidP="00833514">
      <w:pPr>
        <w:pStyle w:val="Notedebasdepage"/>
      </w:pPr>
      <w:r>
        <w:rPr>
          <w:rStyle w:val="Appelnotedebasdep"/>
        </w:rPr>
        <w:footnoteRef/>
      </w:r>
      <w:r>
        <w:t xml:space="preserve"> </w:t>
      </w:r>
      <w:r>
        <w:tab/>
      </w:r>
      <w:r w:rsidRPr="00C57F5E">
        <w:rPr>
          <w:lang w:eastAsia="fr-FR" w:bidi="fr-FR"/>
        </w:rPr>
        <w:t>Sept des dix premières compagnies pétrolières au Canada sont sous le c</w:t>
      </w:r>
      <w:r>
        <w:rPr>
          <w:lang w:eastAsia="fr-FR" w:bidi="fr-FR"/>
        </w:rPr>
        <w:t>ontrôle de capitaux américains.</w:t>
      </w:r>
    </w:p>
  </w:footnote>
  <w:footnote w:id="14">
    <w:p w14:paraId="286F9D8B" w14:textId="77777777" w:rsidR="00833514" w:rsidRDefault="00833514" w:rsidP="00833514">
      <w:pPr>
        <w:pStyle w:val="Notedebasdepage"/>
      </w:pPr>
      <w:r>
        <w:rPr>
          <w:rStyle w:val="Appelnotedebasdep"/>
        </w:rPr>
        <w:footnoteRef/>
      </w:r>
      <w:r>
        <w:t xml:space="preserve"> </w:t>
      </w:r>
      <w:r>
        <w:tab/>
      </w:r>
      <w:r w:rsidRPr="00FD04CF">
        <w:t>La position du gouvernement québécois peut paraître par</w:t>
      </w:r>
      <w:r w:rsidRPr="00FD04CF">
        <w:t>a</w:t>
      </w:r>
      <w:r w:rsidRPr="00FD04CF">
        <w:t>doxale. Dans les faits à chaque augmentation du prix du pétrole, le Québec valorise sa princip</w:t>
      </w:r>
      <w:r w:rsidRPr="00FD04CF">
        <w:t>a</w:t>
      </w:r>
      <w:r w:rsidRPr="00FD04CF">
        <w:t>le ressource</w:t>
      </w:r>
      <w:r>
        <w:t> </w:t>
      </w:r>
      <w:r w:rsidRPr="00FD04CF">
        <w:t>: l’hydro-électricité. D’autre part, cela lui permet d’augmenter le prix de l’électricité et ainsi de f</w:t>
      </w:r>
      <w:r w:rsidRPr="00FD04CF">
        <w:t>a</w:t>
      </w:r>
      <w:r w:rsidRPr="00FD04CF">
        <w:t>ciliter le financement de ses projets actuels ou à venir.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9F48" w14:textId="77777777" w:rsidR="00833514" w:rsidRDefault="00833514" w:rsidP="00833514">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Pierre Paquette, “Le labyrinthe pétrolier.” (1980)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54786486" w14:textId="77777777" w:rsidR="00833514" w:rsidRDefault="0083351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68E2"/>
    <w:rsid w:val="00833514"/>
    <w:rsid w:val="00857E5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108CDF"/>
  <w15:chartTrackingRefBased/>
  <w15:docId w15:val="{D6B3F348-D108-914D-8EB8-EBBFC1CC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29195B"/>
    <w:pPr>
      <w:spacing w:before="120" w:after="120"/>
      <w:ind w:left="720"/>
      <w:jc w:val="both"/>
    </w:pPr>
    <w:rPr>
      <w:color w:val="000080"/>
      <w:sz w:val="24"/>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CD4D54"/>
    <w:pPr>
      <w:tabs>
        <w:tab w:val="left" w:pos="90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293B07"/>
    <w:rPr>
      <w:b w:val="0"/>
      <w:sz w:val="72"/>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4B2EBF"/>
    <w:pPr>
      <w:ind w:firstLine="0"/>
      <w:jc w:val="left"/>
    </w:pPr>
    <w:rPr>
      <w:b/>
      <w:i/>
      <w:iCs/>
      <w:color w:val="FF0000"/>
      <w:sz w:val="32"/>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autoRedefine/>
    <w:rsid w:val="00293B07"/>
    <w:rPr>
      <w:i/>
      <w:sz w:val="40"/>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EE2618"/>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29195B"/>
    <w:rPr>
      <w:rFonts w:ascii="Times New Roman" w:eastAsia="Times New Roman" w:hAnsi="Times New Roman"/>
      <w:color w:val="000080"/>
      <w:sz w:val="24"/>
      <w:lang w:val="x-none"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CD4D54"/>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129ptItalique">
    <w:name w:val="Corps du texte (12) + 9 pt;Italique"/>
    <w:basedOn w:val="Policepardfaut"/>
    <w:rsid w:val="0009079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2226ptGrasEspacement0ptchelle120">
    <w:name w:val="En-tête #2 (2) + 26 pt;Gras;Espacement 0 pt;Échelle 120%"/>
    <w:basedOn w:val="Policepardfaut"/>
    <w:rsid w:val="00090799"/>
    <w:rPr>
      <w:rFonts w:ascii="Times New Roman" w:eastAsia="Times New Roman" w:hAnsi="Times New Roman" w:cs="Times New Roman"/>
      <w:b/>
      <w:bCs/>
      <w:i w:val="0"/>
      <w:iCs w:val="0"/>
      <w:smallCaps w:val="0"/>
      <w:strike w:val="0"/>
      <w:color w:val="000000"/>
      <w:spacing w:val="-10"/>
      <w:w w:val="120"/>
      <w:position w:val="0"/>
      <w:sz w:val="52"/>
      <w:szCs w:val="52"/>
      <w:u w:val="none"/>
      <w:lang w:val="fr-FR" w:eastAsia="fr-FR" w:bidi="fr-FR"/>
    </w:rPr>
  </w:style>
  <w:style w:type="character" w:customStyle="1" w:styleId="En-tte22GrasEspacement-1ptchelle120">
    <w:name w:val="En-tête #2 (2) + Gras;Espacement -1 pt;Échelle 120%"/>
    <w:basedOn w:val="Policepardfaut"/>
    <w:rsid w:val="00090799"/>
    <w:rPr>
      <w:rFonts w:ascii="Times New Roman" w:eastAsia="Times New Roman" w:hAnsi="Times New Roman" w:cs="Times New Roman"/>
      <w:b/>
      <w:bCs/>
      <w:i w:val="0"/>
      <w:iCs w:val="0"/>
      <w:smallCaps w:val="0"/>
      <w:strike w:val="0"/>
      <w:color w:val="000000"/>
      <w:spacing w:val="-20"/>
      <w:w w:val="120"/>
      <w:position w:val="0"/>
      <w:sz w:val="74"/>
      <w:szCs w:val="74"/>
      <w:u w:val="none"/>
      <w:lang w:val="fr-FR" w:eastAsia="fr-FR" w:bidi="fr-FR"/>
    </w:rPr>
  </w:style>
  <w:style w:type="character" w:customStyle="1" w:styleId="Notedebasdepage0">
    <w:name w:val="Note de bas de page_"/>
    <w:basedOn w:val="Policepardfaut"/>
    <w:link w:val="Notedebasdepage1"/>
    <w:rsid w:val="00ED6EB6"/>
    <w:rPr>
      <w:rFonts w:ascii="Times New Roman" w:eastAsia="Times New Roman" w:hAnsi="Times New Roman"/>
      <w:i/>
      <w:iCs/>
      <w:sz w:val="18"/>
      <w:szCs w:val="18"/>
      <w:shd w:val="clear" w:color="auto" w:fill="FFFFFF"/>
    </w:rPr>
  </w:style>
  <w:style w:type="character" w:customStyle="1" w:styleId="Notedebasdepage95ptNonItalique">
    <w:name w:val="Note de bas de page + 9.5 pt;Non Italique"/>
    <w:basedOn w:val="Notedebasdepage0"/>
    <w:rsid w:val="00ED6EB6"/>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Notedebasdepage2">
    <w:name w:val="Note de bas de page (2)_"/>
    <w:basedOn w:val="Policepardfaut"/>
    <w:link w:val="Notedebasdepage20"/>
    <w:rsid w:val="00ED6EB6"/>
    <w:rPr>
      <w:rFonts w:ascii="Times New Roman" w:eastAsia="Times New Roman" w:hAnsi="Times New Roman"/>
      <w:sz w:val="16"/>
      <w:szCs w:val="16"/>
      <w:shd w:val="clear" w:color="auto" w:fill="FFFFFF"/>
    </w:rPr>
  </w:style>
  <w:style w:type="character" w:customStyle="1" w:styleId="Notedebasdepage29ptItalique">
    <w:name w:val="Note de bas de page (2) + 9 pt;Italique"/>
    <w:basedOn w:val="Notedebasdepage2"/>
    <w:rsid w:val="00ED6EB6"/>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Lgendedelimage2Exact">
    <w:name w:val="Légende de l'image (2) Exact"/>
    <w:basedOn w:val="Policepardfaut"/>
    <w:rsid w:val="00ED6EB6"/>
    <w:rPr>
      <w:rFonts w:ascii="Times New Roman" w:eastAsia="Times New Roman" w:hAnsi="Times New Roman" w:cs="Times New Roman"/>
      <w:b/>
      <w:bCs/>
      <w:i w:val="0"/>
      <w:iCs w:val="0"/>
      <w:smallCaps w:val="0"/>
      <w:strike w:val="0"/>
      <w:spacing w:val="-30"/>
      <w:w w:val="150"/>
      <w:sz w:val="34"/>
      <w:szCs w:val="34"/>
      <w:u w:val="none"/>
    </w:rPr>
  </w:style>
  <w:style w:type="character" w:customStyle="1" w:styleId="En-tteoupieddepage9">
    <w:name w:val="En-tête ou pied de page (9)_"/>
    <w:basedOn w:val="Policepardfaut"/>
    <w:link w:val="En-tteoupieddepage90"/>
    <w:rsid w:val="00ED6EB6"/>
    <w:rPr>
      <w:rFonts w:ascii="Times New Roman" w:eastAsia="Times New Roman" w:hAnsi="Times New Roman"/>
      <w:w w:val="75"/>
      <w:sz w:val="13"/>
      <w:szCs w:val="13"/>
      <w:shd w:val="clear" w:color="auto" w:fill="FFFFFF"/>
    </w:rPr>
  </w:style>
  <w:style w:type="character" w:customStyle="1" w:styleId="Corpsdutexte837ptEspacement-1ptchelle120">
    <w:name w:val="Corps du texte (8) + 37 pt;Espacement -1 pt;Échelle 120%"/>
    <w:basedOn w:val="Policepardfaut"/>
    <w:rsid w:val="00ED6EB6"/>
    <w:rPr>
      <w:rFonts w:ascii="Times New Roman" w:eastAsia="Times New Roman" w:hAnsi="Times New Roman" w:cs="Times New Roman"/>
      <w:b/>
      <w:bCs/>
      <w:i w:val="0"/>
      <w:iCs w:val="0"/>
      <w:smallCaps w:val="0"/>
      <w:strike w:val="0"/>
      <w:spacing w:val="-20"/>
      <w:w w:val="120"/>
      <w:sz w:val="74"/>
      <w:szCs w:val="74"/>
      <w:u w:val="none"/>
    </w:rPr>
  </w:style>
  <w:style w:type="character" w:customStyle="1" w:styleId="Tabledesmatires10Exact">
    <w:name w:val="Table des matières (10) Exact"/>
    <w:basedOn w:val="Policepardfaut"/>
    <w:rsid w:val="00ED6EB6"/>
    <w:rPr>
      <w:rFonts w:ascii="Times New Roman" w:eastAsia="Times New Roman" w:hAnsi="Times New Roman" w:cs="Times New Roman"/>
      <w:b w:val="0"/>
      <w:bCs w:val="0"/>
      <w:i w:val="0"/>
      <w:iCs w:val="0"/>
      <w:smallCaps w:val="0"/>
      <w:strike w:val="0"/>
      <w:sz w:val="20"/>
      <w:szCs w:val="20"/>
      <w:u w:val="none"/>
    </w:rPr>
  </w:style>
  <w:style w:type="character" w:customStyle="1" w:styleId="Tabledesmatires108ptItaliqueExact">
    <w:name w:val="Table des matières (10) + 8 pt;Italique Exact"/>
    <w:basedOn w:val="TM1Car"/>
    <w:rsid w:val="00ED6EB6"/>
    <w:rPr>
      <w:rFonts w:ascii="Times New Roman" w:eastAsia="Times New Roman" w:hAnsi="Times New Roman"/>
      <w:i/>
      <w:iCs/>
      <w:sz w:val="16"/>
      <w:szCs w:val="16"/>
      <w:shd w:val="clear" w:color="auto" w:fill="FFFFFF"/>
    </w:rPr>
  </w:style>
  <w:style w:type="character" w:customStyle="1" w:styleId="Tabledesmatires108ptExact">
    <w:name w:val="Table des matières (10) + 8 pt Exact"/>
    <w:basedOn w:val="TM1Car"/>
    <w:rsid w:val="00ED6EB6"/>
    <w:rPr>
      <w:rFonts w:ascii="Times New Roman" w:eastAsia="Times New Roman" w:hAnsi="Times New Roman"/>
      <w:sz w:val="16"/>
      <w:szCs w:val="16"/>
      <w:shd w:val="clear" w:color="auto" w:fill="FFFFFF"/>
    </w:rPr>
  </w:style>
  <w:style w:type="character" w:customStyle="1" w:styleId="Tabledesmatires1075ptExact">
    <w:name w:val="Table des matières (10) + 7.5 pt Exact"/>
    <w:basedOn w:val="TM1Car"/>
    <w:rsid w:val="00ED6EB6"/>
    <w:rPr>
      <w:rFonts w:ascii="Times New Roman" w:eastAsia="Times New Roman" w:hAnsi="Times New Roman"/>
      <w:sz w:val="15"/>
      <w:szCs w:val="15"/>
      <w:shd w:val="clear" w:color="auto" w:fill="FFFFFF"/>
    </w:rPr>
  </w:style>
  <w:style w:type="character" w:customStyle="1" w:styleId="Corpsdutexte335ptNonGrasEspacement3ptchelle100">
    <w:name w:val="Corps du texte (3) + 35 pt;Non Gras;Espacement 3 pt;Échelle 100%"/>
    <w:basedOn w:val="Policepardfaut"/>
    <w:rsid w:val="00ED6EB6"/>
    <w:rPr>
      <w:rFonts w:ascii="Times New Roman" w:eastAsia="Times New Roman" w:hAnsi="Times New Roman" w:cs="Times New Roman"/>
      <w:b/>
      <w:bCs/>
      <w:i w:val="0"/>
      <w:iCs w:val="0"/>
      <w:smallCaps w:val="0"/>
      <w:strike w:val="0"/>
      <w:color w:val="000000"/>
      <w:spacing w:val="60"/>
      <w:w w:val="100"/>
      <w:position w:val="0"/>
      <w:sz w:val="70"/>
      <w:szCs w:val="70"/>
      <w:u w:val="none"/>
      <w:lang w:val="fr-FR" w:eastAsia="fr-FR" w:bidi="fr-FR"/>
    </w:rPr>
  </w:style>
  <w:style w:type="character" w:customStyle="1" w:styleId="En-tteoupieddepage">
    <w:name w:val="En-tête ou pied de page_"/>
    <w:basedOn w:val="Policepardfaut"/>
    <w:rsid w:val="00ED6EB6"/>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0">
    <w:name w:val="En-tête ou pied de page"/>
    <w:basedOn w:val="En-tteoupieddepage"/>
    <w:rsid w:val="00ED6E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10ptItalique">
    <w:name w:val="En-tête ou pied de page + 10 pt;Italique"/>
    <w:basedOn w:val="En-tteoupieddepage"/>
    <w:rsid w:val="00ED6EB6"/>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337ptEspacement-1ptchelle120">
    <w:name w:val="En-tête #3 + 37 pt;Espacement -1 pt;Échelle 120%"/>
    <w:basedOn w:val="Policepardfaut"/>
    <w:rsid w:val="00ED6EB6"/>
    <w:rPr>
      <w:rFonts w:ascii="Times New Roman" w:eastAsia="Times New Roman" w:hAnsi="Times New Roman" w:cs="Times New Roman"/>
      <w:b/>
      <w:bCs/>
      <w:i w:val="0"/>
      <w:iCs w:val="0"/>
      <w:smallCaps w:val="0"/>
      <w:strike w:val="0"/>
      <w:color w:val="000000"/>
      <w:spacing w:val="-20"/>
      <w:w w:val="120"/>
      <w:position w:val="0"/>
      <w:sz w:val="74"/>
      <w:szCs w:val="74"/>
      <w:u w:val="none"/>
      <w:lang w:val="fr-FR" w:eastAsia="fr-FR" w:bidi="fr-FR"/>
    </w:rPr>
  </w:style>
  <w:style w:type="character" w:customStyle="1" w:styleId="Corpsdutexte1995ptNonItalique">
    <w:name w:val="Corps du texte (19) + 9.5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3">
    <w:name w:val="En-tête ou pied de page (3)_"/>
    <w:basedOn w:val="Policepardfaut"/>
    <w:link w:val="En-tteoupieddepage30"/>
    <w:rsid w:val="00ED6EB6"/>
    <w:rPr>
      <w:rFonts w:ascii="Times New Roman" w:eastAsia="Times New Roman" w:hAnsi="Times New Roman"/>
      <w:shd w:val="clear" w:color="auto" w:fill="FFFFFF"/>
    </w:rPr>
  </w:style>
  <w:style w:type="character" w:customStyle="1" w:styleId="Corpsdutexte611ptItalique">
    <w:name w:val="Corps du texte (6) + 11 pt;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10pt">
    <w:name w:val="En-tête ou pied de page + 10 pt"/>
    <w:basedOn w:val="En-tteoupieddepage"/>
    <w:rsid w:val="00ED6EB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pt">
    <w:name w:val="En-tête ou pied de page + 9 pt"/>
    <w:basedOn w:val="En-tteoupieddepage"/>
    <w:rsid w:val="00ED6EB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6ptNonItalique">
    <w:name w:val="Corps du texte (2) + 6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55ptNonItalique">
    <w:name w:val="Corps du texte (2) + 5.5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Corpsdutexte210ptNonItalique">
    <w:name w:val="Corps du texte (2) + 10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5">
    <w:name w:val="En-tête ou pied de page (5)"/>
    <w:basedOn w:val="Policepardfaut"/>
    <w:rsid w:val="00ED6EB6"/>
    <w:rPr>
      <w:rFonts w:ascii="Times New Roman" w:eastAsia="Times New Roman" w:hAnsi="Times New Roman" w:cs="Times New Roman"/>
      <w:b w:val="0"/>
      <w:bCs w:val="0"/>
      <w:i w:val="0"/>
      <w:iCs w:val="0"/>
      <w:smallCaps w:val="0"/>
      <w:strike w:val="0"/>
      <w:w w:val="75"/>
      <w:sz w:val="12"/>
      <w:szCs w:val="12"/>
      <w:u w:val="single"/>
    </w:rPr>
  </w:style>
  <w:style w:type="character" w:customStyle="1" w:styleId="En-tteoupieddepage365ptchelle75">
    <w:name w:val="En-tête ou pied de page (3) + 6.5 pt;Échelle 75%"/>
    <w:basedOn w:val="En-tteoupieddepage3"/>
    <w:rsid w:val="00ED6EB6"/>
    <w:rPr>
      <w:rFonts w:ascii="Times New Roman" w:eastAsia="Times New Roman" w:hAnsi="Times New Roman"/>
      <w:color w:val="000000"/>
      <w:spacing w:val="0"/>
      <w:w w:val="75"/>
      <w:position w:val="0"/>
      <w:sz w:val="13"/>
      <w:szCs w:val="13"/>
      <w:shd w:val="clear" w:color="auto" w:fill="FFFFFF"/>
      <w:lang w:val="fr-FR" w:eastAsia="fr-FR" w:bidi="fr-FR"/>
    </w:rPr>
  </w:style>
  <w:style w:type="character" w:customStyle="1" w:styleId="Tabledesmatires3">
    <w:name w:val="Table des matières (3)_"/>
    <w:basedOn w:val="Policepardfaut"/>
    <w:rsid w:val="00ED6EB6"/>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0">
    <w:name w:val="Table des matières (3)"/>
    <w:basedOn w:val="Tabledesmatires3"/>
    <w:rsid w:val="00ED6EB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11">
    <w:name w:val="Table des matières (11)_"/>
    <w:basedOn w:val="Policepardfaut"/>
    <w:link w:val="Tabledesmatires110"/>
    <w:rsid w:val="00ED6EB6"/>
    <w:rPr>
      <w:rFonts w:ascii="Times New Roman" w:eastAsia="Times New Roman" w:hAnsi="Times New Roman"/>
      <w:sz w:val="13"/>
      <w:szCs w:val="13"/>
      <w:shd w:val="clear" w:color="auto" w:fill="FFFFFF"/>
    </w:rPr>
  </w:style>
  <w:style w:type="character" w:customStyle="1" w:styleId="Corpsdutexte1895ptNonItalique">
    <w:name w:val="Corps du texte (18) + 9.5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En-tteoupieddepage9ptItalique">
    <w:name w:val="En-tête ou pied de page + 9 pt;Italique"/>
    <w:basedOn w:val="En-tteoupieddepage"/>
    <w:rsid w:val="00ED6EB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utableauExact">
    <w:name w:val="Légende du tableau Exact"/>
    <w:basedOn w:val="Policepardfaut"/>
    <w:rsid w:val="00ED6EB6"/>
    <w:rPr>
      <w:rFonts w:ascii="Times New Roman" w:eastAsia="Times New Roman" w:hAnsi="Times New Roman" w:cs="Times New Roman"/>
      <w:b w:val="0"/>
      <w:bCs w:val="0"/>
      <w:i w:val="0"/>
      <w:iCs w:val="0"/>
      <w:smallCaps w:val="0"/>
      <w:strike w:val="0"/>
      <w:sz w:val="16"/>
      <w:szCs w:val="16"/>
      <w:u w:val="none"/>
    </w:rPr>
  </w:style>
  <w:style w:type="character" w:customStyle="1" w:styleId="LgendedutableauItaliqueExact">
    <w:name w:val="Légende du tableau + Italique Exact"/>
    <w:basedOn w:val="LgendedutableauExact"/>
    <w:rsid w:val="00ED6EB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8ptNonItalique">
    <w:name w:val="Corps du texte (2) + 8 pt;Non 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
    <w:name w:val="Légende du tableau (2)_"/>
    <w:basedOn w:val="Policepardfaut"/>
    <w:link w:val="Lgendedutableau20"/>
    <w:rsid w:val="00ED6EB6"/>
    <w:rPr>
      <w:rFonts w:ascii="Times New Roman" w:eastAsia="Times New Roman" w:hAnsi="Times New Roman"/>
      <w:sz w:val="15"/>
      <w:szCs w:val="15"/>
      <w:shd w:val="clear" w:color="auto" w:fill="FFFFFF"/>
    </w:rPr>
  </w:style>
  <w:style w:type="character" w:customStyle="1" w:styleId="Corpsdutexte265ptNonItaliqueEspacement0pt">
    <w:name w:val="Corps du texte (2) + 6.5 pt;Non Italique;Espacement 0 pt"/>
    <w:basedOn w:val="Policepardfaut"/>
    <w:rsid w:val="00ED6EB6"/>
    <w:rPr>
      <w:rFonts w:ascii="Times New Roman" w:eastAsia="Times New Roman" w:hAnsi="Times New Roman" w:cs="Times New Roman"/>
      <w:b w:val="0"/>
      <w:bCs w:val="0"/>
      <w:i/>
      <w:iCs/>
      <w:smallCaps w:val="0"/>
      <w:strike w:val="0"/>
      <w:color w:val="000000"/>
      <w:spacing w:val="10"/>
      <w:w w:val="100"/>
      <w:position w:val="0"/>
      <w:sz w:val="13"/>
      <w:szCs w:val="13"/>
      <w:u w:val="none"/>
      <w:lang w:val="fr-FR" w:eastAsia="fr-FR" w:bidi="fr-FR"/>
    </w:rPr>
  </w:style>
  <w:style w:type="character" w:customStyle="1" w:styleId="En-tteoupieddepage4Exact">
    <w:name w:val="En-tête ou pied de page (4) Exact"/>
    <w:basedOn w:val="Policepardfaut"/>
    <w:link w:val="En-tteoupieddepage4"/>
    <w:rsid w:val="00ED6EB6"/>
    <w:rPr>
      <w:rFonts w:ascii="Times New Roman" w:eastAsia="Times New Roman" w:hAnsi="Times New Roman"/>
      <w:sz w:val="18"/>
      <w:szCs w:val="18"/>
      <w:shd w:val="clear" w:color="auto" w:fill="FFFFFF"/>
    </w:rPr>
  </w:style>
  <w:style w:type="character" w:customStyle="1" w:styleId="En-tteoupieddepage7">
    <w:name w:val="En-tête ou pied de page (7)_"/>
    <w:basedOn w:val="Policepardfaut"/>
    <w:link w:val="En-tteoupieddepage70"/>
    <w:rsid w:val="00ED6EB6"/>
    <w:rPr>
      <w:rFonts w:ascii="Times New Roman" w:eastAsia="Times New Roman" w:hAnsi="Times New Roman"/>
      <w:i/>
      <w:iCs/>
      <w:sz w:val="18"/>
      <w:szCs w:val="18"/>
      <w:shd w:val="clear" w:color="auto" w:fill="FFFFFF"/>
    </w:rPr>
  </w:style>
  <w:style w:type="character" w:customStyle="1" w:styleId="Corpsdutexte212ptGrasNonItaliqueEspacement1pt">
    <w:name w:val="Corps du texte (2) + 12 pt;Gras;Non Italique;Espacement 1 pt"/>
    <w:basedOn w:val="Policepardfaut"/>
    <w:rsid w:val="00ED6EB6"/>
    <w:rPr>
      <w:rFonts w:ascii="Times New Roman" w:eastAsia="Times New Roman" w:hAnsi="Times New Roman" w:cs="Times New Roman"/>
      <w:b/>
      <w:bCs/>
      <w:i/>
      <w:iCs/>
      <w:smallCaps w:val="0"/>
      <w:strike w:val="0"/>
      <w:color w:val="000000"/>
      <w:spacing w:val="20"/>
      <w:w w:val="100"/>
      <w:position w:val="0"/>
      <w:sz w:val="24"/>
      <w:szCs w:val="24"/>
      <w:u w:val="none"/>
      <w:lang w:val="fr-FR" w:eastAsia="fr-FR" w:bidi="fr-FR"/>
    </w:rPr>
  </w:style>
  <w:style w:type="character" w:customStyle="1" w:styleId="TM1Car">
    <w:name w:val="TM 1 Car"/>
    <w:basedOn w:val="Policepardfaut"/>
    <w:link w:val="TM1"/>
    <w:rsid w:val="00ED6EB6"/>
    <w:rPr>
      <w:rFonts w:ascii="Times New Roman" w:eastAsia="Times New Roman" w:hAnsi="Times New Roman"/>
      <w:shd w:val="clear" w:color="auto" w:fill="FFFFFF"/>
    </w:rPr>
  </w:style>
  <w:style w:type="character" w:customStyle="1" w:styleId="Tabledesmatires1012ptGrasEspacement1pt">
    <w:name w:val="Table des matières (10) + 12 pt;Gras;Espacement 1 pt"/>
    <w:basedOn w:val="TM1Car"/>
    <w:rsid w:val="00ED6EB6"/>
    <w:rPr>
      <w:rFonts w:ascii="Times New Roman" w:eastAsia="Times New Roman" w:hAnsi="Times New Roman"/>
      <w:b/>
      <w:bCs/>
      <w:color w:val="000000"/>
      <w:spacing w:val="20"/>
      <w:w w:val="100"/>
      <w:position w:val="0"/>
      <w:sz w:val="24"/>
      <w:szCs w:val="24"/>
      <w:shd w:val="clear" w:color="auto" w:fill="FFFFFF"/>
      <w:lang w:val="fr-FR" w:eastAsia="fr-FR" w:bidi="fr-FR"/>
    </w:rPr>
  </w:style>
  <w:style w:type="character" w:customStyle="1" w:styleId="En-tteoupieddepage39ptItalique">
    <w:name w:val="En-tête ou pied de page (3) + 9 pt;Italique"/>
    <w:basedOn w:val="En-tteoupieddepage3"/>
    <w:rsid w:val="00ED6EB6"/>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Lgendedutableau3">
    <w:name w:val="Légende du tableau (3)_"/>
    <w:basedOn w:val="Policepardfaut"/>
    <w:link w:val="Lgendedutableau30"/>
    <w:rsid w:val="00ED6EB6"/>
    <w:rPr>
      <w:rFonts w:ascii="Times New Roman" w:eastAsia="Times New Roman" w:hAnsi="Times New Roman"/>
      <w:i/>
      <w:iCs/>
      <w:sz w:val="18"/>
      <w:szCs w:val="18"/>
      <w:shd w:val="clear" w:color="auto" w:fill="FFFFFF"/>
    </w:rPr>
  </w:style>
  <w:style w:type="character" w:customStyle="1" w:styleId="Lgendedutableau395ptNonItalique">
    <w:name w:val="Légende du tableau (3) + 9.5 pt;Non Italique"/>
    <w:basedOn w:val="Lgendedutableau3"/>
    <w:rsid w:val="00ED6EB6"/>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Lgendedutableau4">
    <w:name w:val="Légende du tableau (4)_"/>
    <w:basedOn w:val="Policepardfaut"/>
    <w:link w:val="Lgendedutableau40"/>
    <w:rsid w:val="00ED6EB6"/>
    <w:rPr>
      <w:rFonts w:ascii="Times New Roman" w:eastAsia="Times New Roman" w:hAnsi="Times New Roman"/>
      <w:i/>
      <w:iCs/>
      <w:sz w:val="16"/>
      <w:szCs w:val="16"/>
      <w:shd w:val="clear" w:color="auto" w:fill="FFFFFF"/>
    </w:rPr>
  </w:style>
  <w:style w:type="character" w:customStyle="1" w:styleId="En-tte511ptNonGras">
    <w:name w:val="En-tête #5 + 11 pt;Non Gras"/>
    <w:basedOn w:val="Policepardfaut"/>
    <w:rsid w:val="00ED6EB6"/>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utableau5">
    <w:name w:val="Légende du tableau (5)_"/>
    <w:basedOn w:val="Policepardfaut"/>
    <w:rsid w:val="00ED6EB6"/>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Lgendedutableau50">
    <w:name w:val="Légende du tableau (5)"/>
    <w:basedOn w:val="Lgendedutableau5"/>
    <w:rsid w:val="00ED6EB6"/>
    <w:rPr>
      <w:rFonts w:ascii="Times New Roman" w:eastAsia="Times New Roman" w:hAnsi="Times New Roman" w:cs="Times New Roman"/>
      <w:b w:val="0"/>
      <w:bCs w:val="0"/>
      <w:i w:val="0"/>
      <w:iCs w:val="0"/>
      <w:smallCaps w:val="0"/>
      <w:strike w:val="0"/>
      <w:color w:val="000000"/>
      <w:spacing w:val="10"/>
      <w:w w:val="100"/>
      <w:position w:val="0"/>
      <w:sz w:val="14"/>
      <w:szCs w:val="14"/>
      <w:u w:val="single"/>
      <w:lang w:val="fr-FR" w:eastAsia="fr-FR" w:bidi="fr-FR"/>
    </w:rPr>
  </w:style>
  <w:style w:type="character" w:customStyle="1" w:styleId="Corpsdutexte27ptNonItaliqueEspacement0pt">
    <w:name w:val="Corps du texte (2) + 7 pt;Non Italique;Espacement 0 pt"/>
    <w:basedOn w:val="Policepardfaut"/>
    <w:rsid w:val="00ED6EB6"/>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675ptItalique">
    <w:name w:val="Corps du texte (6) + 7.5 pt;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69ptItalique">
    <w:name w:val="Corps du texte (6) + 9 pt;Italique"/>
    <w:basedOn w:val="Policepardfaut"/>
    <w:rsid w:val="00ED6EB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ED6EB6"/>
    <w:pPr>
      <w:widowControl w:val="0"/>
      <w:shd w:val="clear" w:color="auto" w:fill="FFFFFF"/>
      <w:spacing w:line="194" w:lineRule="exact"/>
      <w:ind w:firstLine="122"/>
    </w:pPr>
    <w:rPr>
      <w:i/>
      <w:iCs/>
      <w:sz w:val="18"/>
      <w:szCs w:val="18"/>
      <w:lang w:eastAsia="fr-FR"/>
    </w:rPr>
  </w:style>
  <w:style w:type="paragraph" w:customStyle="1" w:styleId="Notedebasdepage20">
    <w:name w:val="Note de bas de page (2)"/>
    <w:basedOn w:val="Normal"/>
    <w:link w:val="Notedebasdepage2"/>
    <w:rsid w:val="00ED6EB6"/>
    <w:pPr>
      <w:widowControl w:val="0"/>
      <w:shd w:val="clear" w:color="auto" w:fill="FFFFFF"/>
      <w:spacing w:line="173" w:lineRule="exact"/>
      <w:ind w:firstLine="140"/>
      <w:jc w:val="both"/>
    </w:pPr>
    <w:rPr>
      <w:sz w:val="16"/>
      <w:szCs w:val="16"/>
      <w:lang w:eastAsia="fr-FR"/>
    </w:rPr>
  </w:style>
  <w:style w:type="paragraph" w:customStyle="1" w:styleId="En-tteoupieddepage90">
    <w:name w:val="En-tête ou pied de page (9)"/>
    <w:basedOn w:val="Normal"/>
    <w:link w:val="En-tteoupieddepage9"/>
    <w:rsid w:val="00ED6EB6"/>
    <w:pPr>
      <w:widowControl w:val="0"/>
      <w:shd w:val="clear" w:color="auto" w:fill="FFFFFF"/>
      <w:spacing w:line="0" w:lineRule="atLeast"/>
      <w:ind w:hanging="2"/>
    </w:pPr>
    <w:rPr>
      <w:w w:val="75"/>
      <w:sz w:val="13"/>
      <w:szCs w:val="13"/>
      <w:lang w:eastAsia="fr-FR"/>
    </w:rPr>
  </w:style>
  <w:style w:type="paragraph" w:styleId="TM1">
    <w:name w:val="toc 1"/>
    <w:basedOn w:val="Normal"/>
    <w:link w:val="TM1Car"/>
    <w:autoRedefine/>
    <w:rsid w:val="00ED6EB6"/>
    <w:pPr>
      <w:widowControl w:val="0"/>
      <w:shd w:val="clear" w:color="auto" w:fill="FFFFFF"/>
      <w:spacing w:line="274" w:lineRule="exact"/>
      <w:ind w:hanging="7"/>
      <w:jc w:val="both"/>
    </w:pPr>
    <w:rPr>
      <w:sz w:val="20"/>
      <w:lang w:eastAsia="fr-FR"/>
    </w:rPr>
  </w:style>
  <w:style w:type="paragraph" w:customStyle="1" w:styleId="En-tteoupieddepage30">
    <w:name w:val="En-tête ou pied de page (3)"/>
    <w:basedOn w:val="Normal"/>
    <w:link w:val="En-tteoupieddepage3"/>
    <w:rsid w:val="00ED6EB6"/>
    <w:pPr>
      <w:widowControl w:val="0"/>
      <w:shd w:val="clear" w:color="auto" w:fill="FFFFFF"/>
      <w:spacing w:line="0" w:lineRule="atLeast"/>
      <w:ind w:firstLine="29"/>
    </w:pPr>
    <w:rPr>
      <w:sz w:val="20"/>
      <w:lang w:eastAsia="fr-FR"/>
    </w:rPr>
  </w:style>
  <w:style w:type="paragraph" w:customStyle="1" w:styleId="Tabledesmatires110">
    <w:name w:val="Table des matières (11)"/>
    <w:basedOn w:val="Normal"/>
    <w:link w:val="Tabledesmatires11"/>
    <w:rsid w:val="00ED6EB6"/>
    <w:pPr>
      <w:widowControl w:val="0"/>
      <w:shd w:val="clear" w:color="auto" w:fill="FFFFFF"/>
      <w:spacing w:after="120" w:line="299" w:lineRule="exact"/>
      <w:ind w:hanging="8"/>
      <w:jc w:val="both"/>
    </w:pPr>
    <w:rPr>
      <w:sz w:val="13"/>
      <w:szCs w:val="13"/>
      <w:lang w:eastAsia="fr-FR"/>
    </w:rPr>
  </w:style>
  <w:style w:type="paragraph" w:customStyle="1" w:styleId="Lgendedutableau20">
    <w:name w:val="Légende du tableau (2)"/>
    <w:basedOn w:val="Normal"/>
    <w:link w:val="Lgendedutableau2"/>
    <w:rsid w:val="00ED6EB6"/>
    <w:pPr>
      <w:widowControl w:val="0"/>
      <w:shd w:val="clear" w:color="auto" w:fill="FFFFFF"/>
      <w:spacing w:line="0" w:lineRule="atLeast"/>
      <w:ind w:firstLine="29"/>
      <w:jc w:val="both"/>
    </w:pPr>
    <w:rPr>
      <w:sz w:val="15"/>
      <w:szCs w:val="15"/>
      <w:lang w:eastAsia="fr-FR"/>
    </w:rPr>
  </w:style>
  <w:style w:type="paragraph" w:customStyle="1" w:styleId="En-tteoupieddepage4">
    <w:name w:val="En-tête ou pied de page (4)"/>
    <w:basedOn w:val="Normal"/>
    <w:link w:val="En-tteoupieddepage4Exact"/>
    <w:rsid w:val="00ED6EB6"/>
    <w:pPr>
      <w:widowControl w:val="0"/>
      <w:shd w:val="clear" w:color="auto" w:fill="FFFFFF"/>
      <w:spacing w:line="0" w:lineRule="atLeast"/>
      <w:ind w:firstLine="25"/>
    </w:pPr>
    <w:rPr>
      <w:sz w:val="18"/>
      <w:szCs w:val="18"/>
      <w:lang w:eastAsia="fr-FR"/>
    </w:rPr>
  </w:style>
  <w:style w:type="paragraph" w:customStyle="1" w:styleId="En-tteoupieddepage70">
    <w:name w:val="En-tête ou pied de page (7)"/>
    <w:basedOn w:val="Normal"/>
    <w:link w:val="En-tteoupieddepage7"/>
    <w:rsid w:val="00ED6EB6"/>
    <w:pPr>
      <w:widowControl w:val="0"/>
      <w:shd w:val="clear" w:color="auto" w:fill="FFFFFF"/>
      <w:spacing w:line="0" w:lineRule="atLeast"/>
      <w:ind w:firstLine="29"/>
    </w:pPr>
    <w:rPr>
      <w:i/>
      <w:iCs/>
      <w:sz w:val="18"/>
      <w:szCs w:val="18"/>
      <w:lang w:eastAsia="fr-FR"/>
    </w:rPr>
  </w:style>
  <w:style w:type="paragraph" w:customStyle="1" w:styleId="Lgendedutableau30">
    <w:name w:val="Légende du tableau (3)"/>
    <w:basedOn w:val="Normal"/>
    <w:link w:val="Lgendedutableau3"/>
    <w:rsid w:val="00ED6EB6"/>
    <w:pPr>
      <w:widowControl w:val="0"/>
      <w:shd w:val="clear" w:color="auto" w:fill="FFFFFF"/>
      <w:spacing w:line="198" w:lineRule="exact"/>
      <w:ind w:firstLine="36"/>
      <w:jc w:val="both"/>
    </w:pPr>
    <w:rPr>
      <w:i/>
      <w:iCs/>
      <w:sz w:val="18"/>
      <w:szCs w:val="18"/>
      <w:lang w:eastAsia="fr-FR"/>
    </w:rPr>
  </w:style>
  <w:style w:type="paragraph" w:customStyle="1" w:styleId="Lgendedutableau40">
    <w:name w:val="Légende du tableau (4)"/>
    <w:basedOn w:val="Normal"/>
    <w:link w:val="Lgendedutableau4"/>
    <w:rsid w:val="00ED6EB6"/>
    <w:pPr>
      <w:widowControl w:val="0"/>
      <w:shd w:val="clear" w:color="auto" w:fill="FFFFFF"/>
      <w:spacing w:line="198" w:lineRule="exact"/>
      <w:ind w:firstLine="36"/>
      <w:jc w:val="both"/>
    </w:pPr>
    <w:rPr>
      <w:i/>
      <w:iCs/>
      <w:sz w:val="16"/>
      <w:szCs w:val="16"/>
      <w:lang w:eastAsia="fr-FR"/>
    </w:rPr>
  </w:style>
  <w:style w:type="paragraph" w:customStyle="1" w:styleId="figtitrest">
    <w:name w:val="fig titre st"/>
    <w:basedOn w:val="figtitre"/>
    <w:autoRedefine/>
    <w:rsid w:val="00ED6EB6"/>
    <w:pPr>
      <w:ind w:firstLine="360"/>
    </w:pPr>
    <w:rPr>
      <w:b w:val="0"/>
      <w:color w:val="000090"/>
      <w:lang w:eastAsia="en-US" w:bidi="ar-SA"/>
    </w:rPr>
  </w:style>
  <w:style w:type="paragraph" w:customStyle="1" w:styleId="citationliste">
    <w:name w:val="citation liste"/>
    <w:basedOn w:val="Normal"/>
    <w:rsid w:val="00ED6EB6"/>
    <w:pPr>
      <w:spacing w:before="120" w:after="120"/>
      <w:jc w:val="both"/>
    </w:pPr>
  </w:style>
  <w:style w:type="paragraph" w:customStyle="1" w:styleId="planchenbst">
    <w:name w:val="planche n&amp;b st"/>
    <w:basedOn w:val="planchenb"/>
    <w:autoRedefine/>
    <w:rsid w:val="00D926F6"/>
    <w:rPr>
      <w:color w:val="auto"/>
    </w:rPr>
  </w:style>
  <w:style w:type="character" w:customStyle="1" w:styleId="Notedebasdepage2Italique">
    <w:name w:val="Note de bas de page (2) + Italique"/>
    <w:basedOn w:val="Notedebasdepage2"/>
    <w:rsid w:val="00207F1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105ptNonItalique">
    <w:name w:val="En-tête ou pied de page + 10.5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3NonGrasItalique">
    <w:name w:val="Corps du texte (3) + Non Gras;Italique"/>
    <w:basedOn w:val="Policepardfaut"/>
    <w:rsid w:val="00207F18"/>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oupieddepage95ptNonItalique">
    <w:name w:val="En-tête ou pied de page + 9.5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9ptItalique">
    <w:name w:val="Corps du texte (2) + 9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1185ptNonItaliqueEspacement0pt">
    <w:name w:val="Corps du texte (11) + 8.5 pt;Non Italique;Espacement 0 pt"/>
    <w:basedOn w:val="Policepardfaut"/>
    <w:rsid w:val="00207F18"/>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Corpsdutexte285ptEspacement0pt">
    <w:name w:val="Corps du texte (2) + 8.5 pt;Espacement 0 pt"/>
    <w:basedOn w:val="Policepardfaut"/>
    <w:rsid w:val="00207F18"/>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28ptItalique">
    <w:name w:val="Corps du texte (2) + 8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95ptGrasNonItaliqueEspacement0pt">
    <w:name w:val="En-tête ou pied de page + 9.5 pt;Gras;Non Italique;Espacement 0 pt"/>
    <w:basedOn w:val="Policepardfaut"/>
    <w:rsid w:val="00207F18"/>
    <w:rPr>
      <w:rFonts w:ascii="Times New Roman" w:eastAsia="Times New Roman" w:hAnsi="Times New Roman" w:cs="Times New Roman"/>
      <w:b/>
      <w:bCs/>
      <w:i/>
      <w:iCs/>
      <w:smallCaps w:val="0"/>
      <w:strike w:val="0"/>
      <w:color w:val="000000"/>
      <w:spacing w:val="10"/>
      <w:w w:val="100"/>
      <w:position w:val="0"/>
      <w:sz w:val="19"/>
      <w:szCs w:val="19"/>
      <w:u w:val="none"/>
      <w:lang w:val="fr-FR" w:eastAsia="fr-FR" w:bidi="fr-FR"/>
    </w:rPr>
  </w:style>
  <w:style w:type="character" w:customStyle="1" w:styleId="En-tte4105ptNonGras">
    <w:name w:val="En-tête #4 + 10.5 pt;Non Gras"/>
    <w:basedOn w:val="Policepardfaut"/>
    <w:rsid w:val="00207F18"/>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Lgendedutableau385ptNonItaliqueEspacement0pt">
    <w:name w:val="Légende du tableau (3) + 8.5 pt;Non Italique;Espacement 0 pt"/>
    <w:basedOn w:val="Lgendedutableau3"/>
    <w:rsid w:val="00207F18"/>
    <w:rPr>
      <w:rFonts w:ascii="Times New Roman" w:eastAsia="Times New Roman" w:hAnsi="Times New Roman" w:cs="Times New Roman"/>
      <w:b w:val="0"/>
      <w:bCs w:val="0"/>
      <w:i w:val="0"/>
      <w:iCs w:val="0"/>
      <w:smallCaps w:val="0"/>
      <w:strike w:val="0"/>
      <w:color w:val="000000"/>
      <w:spacing w:val="10"/>
      <w:w w:val="100"/>
      <w:position w:val="0"/>
      <w:sz w:val="17"/>
      <w:szCs w:val="17"/>
      <w:u w:val="none"/>
      <w:shd w:val="clear" w:color="auto" w:fill="FFFFFF"/>
      <w:lang w:val="fr-FR" w:eastAsia="fr-FR" w:bidi="fr-FR"/>
    </w:rPr>
  </w:style>
  <w:style w:type="character" w:customStyle="1" w:styleId="Tabledesmatires11pt">
    <w:name w:val="Table des matières + 11 pt"/>
    <w:basedOn w:val="Tabledesmatires"/>
    <w:rsid w:val="00207F1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Tabledesmatires95pt">
    <w:name w:val="Table des matières + 9.5 pt"/>
    <w:basedOn w:val="Tabledesmatires"/>
    <w:rsid w:val="00207F1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95ptNonItalique">
    <w:name w:val="Corps du texte (13) + 9.5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09ptItalique">
    <w:name w:val="Corps du texte (10) + 9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85ptEspacement2pt">
    <w:name w:val="Corps du texte (2) + 8.5 pt;Espacement 2 pt"/>
    <w:basedOn w:val="Policepardfaut"/>
    <w:rsid w:val="00207F18"/>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fr-FR" w:eastAsia="fr-FR" w:bidi="fr-FR"/>
    </w:rPr>
  </w:style>
  <w:style w:type="character" w:customStyle="1" w:styleId="Corpsdutexte26ptItalique">
    <w:name w:val="Corps du texte (2) + 6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Lgendedelimage7">
    <w:name w:val="Légende de l'image (7)_"/>
    <w:basedOn w:val="Policepardfaut"/>
    <w:link w:val="Lgendedelimage70"/>
    <w:rsid w:val="00207F18"/>
    <w:rPr>
      <w:rFonts w:ascii="Times New Roman" w:eastAsia="Times New Roman" w:hAnsi="Times New Roman"/>
      <w:i/>
      <w:iCs/>
      <w:sz w:val="18"/>
      <w:szCs w:val="18"/>
      <w:shd w:val="clear" w:color="auto" w:fill="FFFFFF"/>
    </w:rPr>
  </w:style>
  <w:style w:type="paragraph" w:customStyle="1" w:styleId="Lgendedelimage70">
    <w:name w:val="Légende de l'image (7)"/>
    <w:basedOn w:val="Normal"/>
    <w:link w:val="Lgendedelimage7"/>
    <w:rsid w:val="00207F18"/>
    <w:pPr>
      <w:widowControl w:val="0"/>
      <w:shd w:val="clear" w:color="auto" w:fill="FFFFFF"/>
      <w:spacing w:line="0" w:lineRule="atLeast"/>
      <w:ind w:firstLine="29"/>
    </w:pPr>
    <w:rPr>
      <w:i/>
      <w:iCs/>
      <w:sz w:val="18"/>
      <w:szCs w:val="18"/>
      <w:lang w:eastAsia="fr-FR"/>
    </w:rPr>
  </w:style>
  <w:style w:type="character" w:customStyle="1" w:styleId="LgendedelimageExact">
    <w:name w:val="Légende de l'image Exact"/>
    <w:basedOn w:val="Policepardfaut"/>
    <w:rsid w:val="00207F18"/>
    <w:rPr>
      <w:rFonts w:ascii="Times New Roman" w:eastAsia="Times New Roman" w:hAnsi="Times New Roman" w:cs="Times New Roman"/>
      <w:b w:val="0"/>
      <w:bCs w:val="0"/>
      <w:i/>
      <w:iCs/>
      <w:smallCaps w:val="0"/>
      <w:strike w:val="0"/>
      <w:sz w:val="16"/>
      <w:szCs w:val="16"/>
      <w:u w:val="none"/>
    </w:rPr>
  </w:style>
  <w:style w:type="character" w:customStyle="1" w:styleId="Lgendedelimage85ptNonItaliqueEspacement0ptExact">
    <w:name w:val="Légende de l'image + 8.5 pt;Non Italique;Espacement 0 pt Exact"/>
    <w:basedOn w:val="LgendedelimageExact"/>
    <w:rsid w:val="00207F18"/>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Lgendedelimage12">
    <w:name w:val="Légende de l'image (12)_"/>
    <w:basedOn w:val="Policepardfaut"/>
    <w:link w:val="Lgendedelimage120"/>
    <w:rsid w:val="00207F18"/>
    <w:rPr>
      <w:rFonts w:ascii="Times New Roman" w:eastAsia="Times New Roman" w:hAnsi="Times New Roman"/>
      <w:i/>
      <w:iCs/>
      <w:sz w:val="22"/>
      <w:szCs w:val="22"/>
      <w:shd w:val="clear" w:color="auto" w:fill="FFFFFF"/>
    </w:rPr>
  </w:style>
  <w:style w:type="paragraph" w:customStyle="1" w:styleId="Lgendedelimage120">
    <w:name w:val="Légende de l'image (12)"/>
    <w:basedOn w:val="Normal"/>
    <w:link w:val="Lgendedelimage12"/>
    <w:rsid w:val="00207F18"/>
    <w:pPr>
      <w:widowControl w:val="0"/>
      <w:shd w:val="clear" w:color="auto" w:fill="FFFFFF"/>
      <w:spacing w:line="0" w:lineRule="atLeast"/>
      <w:ind w:firstLine="29"/>
    </w:pPr>
    <w:rPr>
      <w:i/>
      <w:iCs/>
      <w:sz w:val="22"/>
      <w:szCs w:val="22"/>
      <w:lang w:eastAsia="fr-FR"/>
    </w:rPr>
  </w:style>
  <w:style w:type="character" w:customStyle="1" w:styleId="Corpsdutexte1185ptNonItalique">
    <w:name w:val="Corps du texte (11) + 8.5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6ItaliqueEspacement0pt">
    <w:name w:val="Corps du texte (26) + Italique;Espacement 0 pt"/>
    <w:basedOn w:val="Policepardfaut"/>
    <w:rsid w:val="00207F1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elimage85ptNonItaliqueExact">
    <w:name w:val="Légende de l'image + 8.5 pt;Non Italique Exact"/>
    <w:basedOn w:val="LgendedelimageExact"/>
    <w:rsid w:val="00207F1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3Arial11pt">
    <w:name w:val="En-tête #3 + Arial;11 pt"/>
    <w:basedOn w:val="Policepardfaut"/>
    <w:rsid w:val="00207F18"/>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Corpsdutexte2Arial75pt">
    <w:name w:val="Corps du texte (2) + Arial;7.5 pt"/>
    <w:basedOn w:val="Policepardfaut"/>
    <w:rsid w:val="00207F18"/>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10ptNonItalique">
    <w:name w:val="En-tête ou pied de page + 10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11ptNonItalique">
    <w:name w:val="En-tête ou pied de page + 11 pt;Non 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2PetitesmajusculesEspacement0ptExact">
    <w:name w:val="En-tête #2 + Petites majuscules;Espacement 0 pt Exact"/>
    <w:basedOn w:val="Policepardfaut"/>
    <w:rsid w:val="00207F18"/>
    <w:rPr>
      <w:rFonts w:ascii="Times New Roman" w:eastAsia="Times New Roman" w:hAnsi="Times New Roman" w:cs="Times New Roman"/>
      <w:b/>
      <w:bCs/>
      <w:i/>
      <w:iCs/>
      <w:smallCaps/>
      <w:strike w:val="0"/>
      <w:color w:val="000000"/>
      <w:spacing w:val="-10"/>
      <w:w w:val="100"/>
      <w:position w:val="0"/>
      <w:sz w:val="24"/>
      <w:szCs w:val="24"/>
      <w:u w:val="none"/>
      <w:lang w:val="fr-FR" w:eastAsia="fr-FR" w:bidi="fr-FR"/>
    </w:rPr>
  </w:style>
  <w:style w:type="character" w:customStyle="1" w:styleId="En-tte211ptNonGrasExact">
    <w:name w:val="En-tête #2 + 11 pt;Non Gras Exact"/>
    <w:basedOn w:val="Policepardfaut"/>
    <w:rsid w:val="00207F18"/>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8NonItaliqueEspacement0pt">
    <w:name w:val="Corps du texte (28) + Non Italique;Espacement 0 pt"/>
    <w:basedOn w:val="Policepardfaut"/>
    <w:rsid w:val="00207F18"/>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En-tteoupieddepage1111ptItalique">
    <w:name w:val="En-tête ou pied de page (11) + 11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Lgendedutableau595ptNonItalique">
    <w:name w:val="Légende du tableau (5) + 9.5 pt;Non Italique"/>
    <w:basedOn w:val="Lgendedutableau5"/>
    <w:rsid w:val="00207F18"/>
    <w:rPr>
      <w:rFonts w:ascii="Times New Roman" w:eastAsia="Times New Roman" w:hAnsi="Times New Roman" w:cs="Times New Roman"/>
      <w:b w:val="0"/>
      <w:bCs w:val="0"/>
      <w:i/>
      <w:iCs/>
      <w:smallCaps w:val="0"/>
      <w:strike w:val="0"/>
      <w:color w:val="000000"/>
      <w:spacing w:val="0"/>
      <w:w w:val="100"/>
      <w:position w:val="0"/>
      <w:sz w:val="19"/>
      <w:szCs w:val="19"/>
      <w:u w:val="single"/>
      <w:lang w:val="fr-FR" w:eastAsia="fr-FR" w:bidi="fr-FR"/>
    </w:rPr>
  </w:style>
  <w:style w:type="character" w:customStyle="1" w:styleId="Corpsdutexte210ptItaliqueExact">
    <w:name w:val="Corps du texte (2) + 10 pt;Italique Exact"/>
    <w:basedOn w:val="Policepardfaut"/>
    <w:rsid w:val="00207F1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95ptGrasExact">
    <w:name w:val="Corps du texte (2) + 9.5 pt;Gras Exact"/>
    <w:basedOn w:val="Policepardfaut"/>
    <w:rsid w:val="00207F18"/>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395ptNonItaliqueExact">
    <w:name w:val="Corps du texte (13) + 9.5 pt;Non Italique Exact"/>
    <w:basedOn w:val="Policepardfaut"/>
    <w:rsid w:val="00207F18"/>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4AppleGothic17ptItaliqueExact">
    <w:name w:val="Corps du texte (34) + AppleGothic;17 pt;Italique Exact"/>
    <w:basedOn w:val="Policepardfaut"/>
    <w:rsid w:val="00207F18"/>
    <w:rPr>
      <w:rFonts w:ascii="AppleGothic" w:eastAsia="AppleGothic" w:hAnsi="AppleGothic" w:cs="AppleGothic"/>
      <w:b w:val="0"/>
      <w:bCs w:val="0"/>
      <w:i/>
      <w:iCs/>
      <w:smallCaps w:val="0"/>
      <w:strike w:val="0"/>
      <w:color w:val="000000"/>
      <w:spacing w:val="0"/>
      <w:w w:val="100"/>
      <w:position w:val="0"/>
      <w:sz w:val="34"/>
      <w:szCs w:val="34"/>
      <w:u w:val="none"/>
      <w:lang w:val="fr-FR" w:eastAsia="fr-FR" w:bidi="fr-FR"/>
    </w:rPr>
  </w:style>
  <w:style w:type="character" w:customStyle="1" w:styleId="Corpsdutexte210ptItalique">
    <w:name w:val="Corps du texte (2) + 10 pt;Italique"/>
    <w:basedOn w:val="Policepardfaut"/>
    <w:rsid w:val="00207F1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28ptItaliqueEspacement0pt">
    <w:name w:val="Corps du texte (12) + 8 pt;Italique;Espacement 0 pt"/>
    <w:basedOn w:val="Policepardfaut"/>
    <w:rsid w:val="00207F1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elimage8">
    <w:name w:val="Légende de l'image (8)"/>
    <w:basedOn w:val="Policepardfaut"/>
    <w:rsid w:val="00207F18"/>
    <w:rPr>
      <w:rFonts w:ascii="Times New Roman" w:eastAsia="Times New Roman" w:hAnsi="Times New Roman" w:cs="Times New Roman"/>
      <w:b w:val="0"/>
      <w:bCs w:val="0"/>
      <w:i w:val="0"/>
      <w:iCs w:val="0"/>
      <w:smallCaps w:val="0"/>
      <w:strike w:val="0"/>
      <w:sz w:val="22"/>
      <w:szCs w:val="22"/>
      <w:u w:val="none"/>
    </w:rPr>
  </w:style>
  <w:style w:type="paragraph" w:customStyle="1" w:styleId="figtitrest1">
    <w:name w:val="fig titre st 1"/>
    <w:basedOn w:val="figtitrest"/>
    <w:autoRedefine/>
    <w:rsid w:val="008D48FA"/>
    <w:pPr>
      <w:ind w:firstLine="0"/>
      <w:jc w:val="both"/>
    </w:pPr>
    <w:rPr>
      <w:rFonts w:cs="Times New Roman"/>
      <w:bCs w:val="0"/>
      <w:i/>
      <w:szCs w:val="20"/>
      <w:lang w:eastAsia="fr-FR" w:bidi="fr-FR"/>
    </w:rPr>
  </w:style>
  <w:style w:type="paragraph" w:customStyle="1" w:styleId="figst1">
    <w:name w:val="fig st 1"/>
    <w:basedOn w:val="Normal"/>
    <w:autoRedefine/>
    <w:rsid w:val="00207F18"/>
    <w:pPr>
      <w:spacing w:before="60" w:after="60"/>
      <w:ind w:firstLine="0"/>
    </w:pPr>
    <w:rPr>
      <w:color w:val="000090"/>
      <w:sz w:val="24"/>
    </w:rPr>
  </w:style>
  <w:style w:type="paragraph" w:customStyle="1" w:styleId="figtitrest10">
    <w:name w:val="fig titre st1"/>
    <w:basedOn w:val="figtitrest"/>
    <w:rsid w:val="00207F18"/>
    <w:pPr>
      <w:ind w:firstLine="0"/>
    </w:pPr>
    <w:rPr>
      <w:rFonts w:cs="Times New Roman"/>
      <w:bCs w:val="0"/>
      <w:szCs w:val="20"/>
      <w:lang w:eastAsia="fr-FR" w:bidi="fr-FR"/>
    </w:rPr>
  </w:style>
  <w:style w:type="paragraph" w:customStyle="1" w:styleId="Citationsimple">
    <w:name w:val="Citation simple"/>
    <w:basedOn w:val="Grillecouleur-Accent1"/>
    <w:autoRedefine/>
    <w:rsid w:val="00C34875"/>
    <w:pPr>
      <w:spacing w:before="0" w:after="0"/>
      <w:ind w:left="2880" w:firstLine="0"/>
    </w:pPr>
    <w:rPr>
      <w:lang w:eastAsia="fr-FR" w:bidi="fr-FR"/>
    </w:rPr>
  </w:style>
  <w:style w:type="character" w:customStyle="1" w:styleId="En-tte312ptItaliqueEspacement0ptchelle100Exact">
    <w:name w:val="En-tête #3 + 12 pt;Italique;Espacement 0 pt;Échelle 100% Exact"/>
    <w:basedOn w:val="Policepardfaut"/>
    <w:rsid w:val="00C34875"/>
    <w:rPr>
      <w:rFonts w:ascii="Times New Roman" w:eastAsia="Times New Roman" w:hAnsi="Times New Roman" w:cs="Times New Roman"/>
      <w:b/>
      <w:bCs/>
      <w:i/>
      <w:iCs/>
      <w:smallCaps w:val="0"/>
      <w:strike w:val="0"/>
      <w:spacing w:val="0"/>
      <w:w w:val="100"/>
      <w:sz w:val="24"/>
      <w:szCs w:val="24"/>
      <w:u w:val="none"/>
    </w:rPr>
  </w:style>
  <w:style w:type="character" w:customStyle="1" w:styleId="En-tte43TimesNewRoman12ptGrasNonItaliqueEspacement0ptchelle100">
    <w:name w:val="En-tête #4 (3) + Times New Roman;12 pt;Gras;Non Italique;Espacement 0 pt;Échelle 100%"/>
    <w:basedOn w:val="Policepardfaut"/>
    <w:rsid w:val="00C34875"/>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oupieddepage50">
    <w:name w:val="En-tête ou pied de page (5)_"/>
    <w:basedOn w:val="Policepardfaut"/>
    <w:rsid w:val="00C34875"/>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2">
    <w:name w:val="En-tête ou pied de page (2)"/>
    <w:basedOn w:val="Policepardfaut"/>
    <w:rsid w:val="00C34875"/>
    <w:rPr>
      <w:rFonts w:ascii="Times New Roman" w:eastAsia="Times New Roman" w:hAnsi="Times New Roman" w:cs="Times New Roman"/>
      <w:b w:val="0"/>
      <w:bCs w:val="0"/>
      <w:i w:val="0"/>
      <w:iCs w:val="0"/>
      <w:smallCaps w:val="0"/>
      <w:strike w:val="0"/>
      <w:sz w:val="21"/>
      <w:szCs w:val="21"/>
      <w:u w:val="none"/>
    </w:rPr>
  </w:style>
  <w:style w:type="character" w:customStyle="1" w:styleId="Corpsdutexte28ptPetitesmajuscules">
    <w:name w:val="Corps du texte (2) + 8 pt;Petites majuscules"/>
    <w:basedOn w:val="Policepardfaut"/>
    <w:rsid w:val="00C3487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28ptItalique">
    <w:name w:val="Corps du texte (22) + 8 pt;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385ptNonItalique">
    <w:name w:val="Corps du texte (23) + 8.5 pt;Non 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311ptNonGrasItaliqueEspacement0ptchelle100">
    <w:name w:val="En-tête #3 + 11 pt;Non Gras;Italique;Espacement 0 pt;Échelle 100%"/>
    <w:basedOn w:val="Policepardfaut"/>
    <w:rsid w:val="00C34875"/>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En-tte311ptNonGrasItaliqueEspacement1ptchelle100">
    <w:name w:val="En-tête #3 + 11 pt;Non Gras;Italique;Espacement 1 pt;Échelle 100%"/>
    <w:basedOn w:val="Policepardfaut"/>
    <w:rsid w:val="00C34875"/>
    <w:rPr>
      <w:rFonts w:ascii="Times New Roman" w:eastAsia="Times New Roman" w:hAnsi="Times New Roman" w:cs="Times New Roman"/>
      <w:b/>
      <w:bCs/>
      <w:i/>
      <w:iCs/>
      <w:smallCaps w:val="0"/>
      <w:strike w:val="0"/>
      <w:color w:val="000000"/>
      <w:spacing w:val="20"/>
      <w:w w:val="100"/>
      <w:position w:val="0"/>
      <w:sz w:val="22"/>
      <w:szCs w:val="22"/>
      <w:u w:val="none"/>
      <w:lang w:val="fr-FR" w:eastAsia="fr-FR" w:bidi="fr-FR"/>
    </w:rPr>
  </w:style>
  <w:style w:type="character" w:customStyle="1" w:styleId="En-tte311ptNonGrasItaliqueEspacement-1ptchelle100">
    <w:name w:val="En-tête #3 + 11 pt;Non Gras;Italique;Espacement -1 pt;Échelle 100%"/>
    <w:basedOn w:val="Policepardfaut"/>
    <w:rsid w:val="00C34875"/>
    <w:rPr>
      <w:rFonts w:ascii="Times New Roman" w:eastAsia="Times New Roman" w:hAnsi="Times New Roman" w:cs="Times New Roman"/>
      <w:b/>
      <w:bCs/>
      <w:i/>
      <w:iCs/>
      <w:smallCaps w:val="0"/>
      <w:strike w:val="0"/>
      <w:color w:val="000000"/>
      <w:spacing w:val="-20"/>
      <w:w w:val="100"/>
      <w:position w:val="0"/>
      <w:sz w:val="22"/>
      <w:szCs w:val="22"/>
      <w:u w:val="none"/>
      <w:lang w:val="fr-FR" w:eastAsia="fr-FR" w:bidi="fr-FR"/>
    </w:rPr>
  </w:style>
  <w:style w:type="character" w:customStyle="1" w:styleId="Corpsdutexte38CourierNewGrasNonItaliquechelle100">
    <w:name w:val="Corps du texte (38) + Courier New;Gras;Non Italique;Échelle 100%"/>
    <w:basedOn w:val="Policepardfaut"/>
    <w:rsid w:val="00C34875"/>
    <w:rPr>
      <w:rFonts w:ascii="Courier New" w:eastAsia="Courier New" w:hAnsi="Courier New" w:cs="Courier New"/>
      <w:b/>
      <w:bCs/>
      <w:i/>
      <w:iCs/>
      <w:smallCaps w:val="0"/>
      <w:strike w:val="0"/>
      <w:color w:val="000000"/>
      <w:spacing w:val="0"/>
      <w:w w:val="100"/>
      <w:position w:val="0"/>
      <w:sz w:val="21"/>
      <w:szCs w:val="21"/>
      <w:u w:val="none"/>
      <w:lang w:val="fr-FR" w:eastAsia="fr-FR" w:bidi="fr-FR"/>
    </w:rPr>
  </w:style>
  <w:style w:type="character" w:customStyle="1" w:styleId="Corpsdutexte58ptNonGrasNonItalique">
    <w:name w:val="Corps du texte (5) + 8 pt;Non Gras;Non Italique"/>
    <w:basedOn w:val="Policepardfaut"/>
    <w:rsid w:val="00C34875"/>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379ptGrasItalique">
    <w:name w:val="Corps du texte (37) + 9 pt;Gras;Italique"/>
    <w:basedOn w:val="Policepardfaut"/>
    <w:rsid w:val="00C34875"/>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Lgendedelimage13">
    <w:name w:val="Légende de l'image (13)_"/>
    <w:basedOn w:val="Policepardfaut"/>
    <w:link w:val="Lgendedelimage130"/>
    <w:rsid w:val="00C34875"/>
    <w:rPr>
      <w:rFonts w:ascii="Times New Roman" w:eastAsia="Times New Roman" w:hAnsi="Times New Roman"/>
      <w:b/>
      <w:bCs/>
      <w:spacing w:val="-20"/>
      <w:sz w:val="22"/>
      <w:szCs w:val="22"/>
      <w:shd w:val="clear" w:color="auto" w:fill="FFFFFF"/>
    </w:rPr>
  </w:style>
  <w:style w:type="character" w:customStyle="1" w:styleId="Lgendedelimage7Exact">
    <w:name w:val="Légende de l'image (7) Exact"/>
    <w:basedOn w:val="Policepardfaut"/>
    <w:rsid w:val="00C34875"/>
    <w:rPr>
      <w:rFonts w:ascii="Times New Roman" w:eastAsia="Times New Roman" w:hAnsi="Times New Roman" w:cs="Times New Roman"/>
      <w:b/>
      <w:bCs/>
      <w:i/>
      <w:iCs/>
      <w:smallCaps w:val="0"/>
      <w:strike w:val="0"/>
      <w:sz w:val="18"/>
      <w:szCs w:val="18"/>
      <w:u w:val="none"/>
    </w:rPr>
  </w:style>
  <w:style w:type="character" w:customStyle="1" w:styleId="Lgendedelimage14Exact">
    <w:name w:val="Légende de l'image (14) Exact"/>
    <w:basedOn w:val="Policepardfaut"/>
    <w:link w:val="Lgendedelimage14"/>
    <w:rsid w:val="00C34875"/>
    <w:rPr>
      <w:rFonts w:ascii="Arial" w:eastAsia="Arial" w:hAnsi="Arial" w:cs="Arial"/>
      <w:sz w:val="16"/>
      <w:szCs w:val="16"/>
      <w:shd w:val="clear" w:color="auto" w:fill="FFFFFF"/>
    </w:rPr>
  </w:style>
  <w:style w:type="character" w:customStyle="1" w:styleId="Corpsdutexte44GrasNonItaliqueExact">
    <w:name w:val="Corps du texte (44) + Gras;Non Italique Exact"/>
    <w:basedOn w:val="Policepardfaut"/>
    <w:rsid w:val="00C34875"/>
    <w:rPr>
      <w:rFonts w:ascii="Times New Roman" w:eastAsia="Times New Roman" w:hAnsi="Times New Roman" w:cs="Times New Roman"/>
      <w:b/>
      <w:bCs/>
      <w:i/>
      <w:iCs/>
      <w:smallCaps w:val="0"/>
      <w:strike w:val="0"/>
      <w:sz w:val="17"/>
      <w:szCs w:val="17"/>
      <w:u w:val="none"/>
    </w:rPr>
  </w:style>
  <w:style w:type="character" w:customStyle="1" w:styleId="Corpsdutexte1019ptGrasItaliquechelle66Exact">
    <w:name w:val="Corps du texte (10) + 19 pt;Gras;Italique;Échelle 66% Exact"/>
    <w:basedOn w:val="Policepardfaut"/>
    <w:rsid w:val="00C34875"/>
    <w:rPr>
      <w:rFonts w:ascii="Times New Roman" w:eastAsia="Times New Roman" w:hAnsi="Times New Roman" w:cs="Times New Roman"/>
      <w:b/>
      <w:bCs/>
      <w:i/>
      <w:iCs/>
      <w:smallCaps w:val="0"/>
      <w:strike w:val="0"/>
      <w:color w:val="000000"/>
      <w:spacing w:val="0"/>
      <w:w w:val="66"/>
      <w:position w:val="0"/>
      <w:sz w:val="38"/>
      <w:szCs w:val="38"/>
      <w:u w:val="none"/>
      <w:lang w:val="fr-FR" w:eastAsia="fr-FR" w:bidi="fr-FR"/>
    </w:rPr>
  </w:style>
  <w:style w:type="character" w:customStyle="1" w:styleId="Corpsdutexte585ptNonItalique">
    <w:name w:val="Corps du texte (5) + 8.5 pt;Non Italique"/>
    <w:basedOn w:val="Policepardfaut"/>
    <w:rsid w:val="00C34875"/>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49ptItalique">
    <w:name w:val="Corps du texte (34) + 9 pt;Italique"/>
    <w:basedOn w:val="Policepardfaut"/>
    <w:rsid w:val="00C34875"/>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44GrasNonItalique">
    <w:name w:val="Corps du texte (44) + Gras;Non Italique"/>
    <w:basedOn w:val="Policepardfaut"/>
    <w:rsid w:val="00C34875"/>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49ptEspacement0pt">
    <w:name w:val="Corps du texte (44) + 9 pt;Espacement 0 pt"/>
    <w:basedOn w:val="Policepardfaut"/>
    <w:rsid w:val="00C34875"/>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Corpsdutexte449ptNonItalique">
    <w:name w:val="Corps du texte (44) + 9 pt;Non 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85ptItalique">
    <w:name w:val="Corps du texte (9) + 8.5 pt;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985ptGras">
    <w:name w:val="Corps du texte (9) + 8.5 pt;Gras"/>
    <w:basedOn w:val="Policepardfaut"/>
    <w:rsid w:val="00C34875"/>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9GrasItalique">
    <w:name w:val="Corps du texte (9) + Gras;Italique"/>
    <w:basedOn w:val="Policepardfaut"/>
    <w:rsid w:val="00C34875"/>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9ItaliqueEspacement0pt">
    <w:name w:val="Corps du texte (9) + Italique;Espacement 0 pt"/>
    <w:basedOn w:val="Policepardfaut"/>
    <w:rsid w:val="00C34875"/>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En-tteoupieddepage59ptItalique">
    <w:name w:val="En-tête ou pied de page (5) + 9 pt;Italique"/>
    <w:basedOn w:val="En-tteoupieddepage50"/>
    <w:rsid w:val="00C3487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449ptNonItaliqueExact">
    <w:name w:val="Corps du texte (44) + 9 pt;Non Italique Exact"/>
    <w:basedOn w:val="Policepardfaut"/>
    <w:rsid w:val="00C3487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85ptGrasEspacement0pt">
    <w:name w:val="Corps du texte (9) + 8.5 pt;Gras;Espacement 0 pt"/>
    <w:basedOn w:val="Policepardfaut"/>
    <w:rsid w:val="00C34875"/>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11NonItaliqueEspacement3pt">
    <w:name w:val="Corps du texte (11) + Non Italique;Espacement 3 pt"/>
    <w:basedOn w:val="Policepardfaut"/>
    <w:rsid w:val="00C34875"/>
    <w:rPr>
      <w:rFonts w:ascii="Times New Roman" w:eastAsia="Times New Roman" w:hAnsi="Times New Roman" w:cs="Times New Roman"/>
      <w:b w:val="0"/>
      <w:bCs w:val="0"/>
      <w:i/>
      <w:iCs/>
      <w:smallCaps w:val="0"/>
      <w:strike w:val="0"/>
      <w:color w:val="000000"/>
      <w:spacing w:val="60"/>
      <w:w w:val="100"/>
      <w:position w:val="0"/>
      <w:sz w:val="22"/>
      <w:szCs w:val="22"/>
      <w:u w:val="none"/>
      <w:lang w:val="fr-FR" w:eastAsia="fr-FR" w:bidi="fr-FR"/>
    </w:rPr>
  </w:style>
  <w:style w:type="character" w:customStyle="1" w:styleId="Corpsdutexte55TimesNewRoman75ptItalique">
    <w:name w:val="Corps du texte (55) + Times New Roman;7.5 pt;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57TimesNewRoman8ptItalique">
    <w:name w:val="Corps du texte (57) + Times New Roman;8 pt;Italique"/>
    <w:basedOn w:val="Policepardfaut"/>
    <w:rsid w:val="00C3487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paragraph" w:customStyle="1" w:styleId="citationst1">
    <w:name w:val="citation st 1"/>
    <w:basedOn w:val="Normal"/>
    <w:autoRedefine/>
    <w:rsid w:val="00C34875"/>
    <w:pPr>
      <w:spacing w:before="120" w:after="120"/>
      <w:jc w:val="both"/>
    </w:pPr>
    <w:rPr>
      <w:color w:val="000090"/>
      <w:sz w:val="24"/>
      <w:lang w:eastAsia="fr-FR" w:bidi="fr-FR"/>
    </w:rPr>
  </w:style>
  <w:style w:type="character" w:customStyle="1" w:styleId="Corpsdutexte1">
    <w:name w:val="Corps du texte|1_"/>
    <w:basedOn w:val="Policepardfaut"/>
    <w:link w:val="Corpsdutexte10"/>
    <w:rsid w:val="00C34875"/>
    <w:rPr>
      <w:i/>
      <w:iCs/>
      <w:sz w:val="17"/>
      <w:szCs w:val="17"/>
    </w:rPr>
  </w:style>
  <w:style w:type="character" w:customStyle="1" w:styleId="Corpsdutexte2">
    <w:name w:val="Corps du texte|2_"/>
    <w:basedOn w:val="Policepardfaut"/>
    <w:link w:val="Corpsdutexte20"/>
    <w:rsid w:val="00C34875"/>
    <w:rPr>
      <w:rFonts w:ascii="Courier New" w:eastAsia="Courier New" w:hAnsi="Courier New" w:cs="Arial"/>
    </w:rPr>
  </w:style>
  <w:style w:type="paragraph" w:customStyle="1" w:styleId="Corpsdutexte10">
    <w:name w:val="Corps du texte|1"/>
    <w:basedOn w:val="Normal"/>
    <w:link w:val="Corpsdutexte1"/>
    <w:rsid w:val="00C34875"/>
    <w:pPr>
      <w:widowControl w:val="0"/>
      <w:ind w:firstLine="300"/>
    </w:pPr>
    <w:rPr>
      <w:rFonts w:ascii="Times" w:eastAsia="Times" w:hAnsi="Times"/>
      <w:i/>
      <w:iCs/>
      <w:sz w:val="17"/>
      <w:szCs w:val="17"/>
      <w:lang w:eastAsia="fr-FR"/>
    </w:rPr>
  </w:style>
  <w:style w:type="paragraph" w:customStyle="1" w:styleId="Corpsdutexte20">
    <w:name w:val="Corps du texte|2"/>
    <w:basedOn w:val="Normal"/>
    <w:link w:val="Corpsdutexte2"/>
    <w:rsid w:val="00C34875"/>
    <w:pPr>
      <w:widowControl w:val="0"/>
      <w:spacing w:after="220" w:line="223" w:lineRule="auto"/>
      <w:ind w:firstLine="0"/>
    </w:pPr>
    <w:rPr>
      <w:rFonts w:ascii="Courier New" w:eastAsia="Courier New" w:hAnsi="Courier New" w:cs="Arial"/>
      <w:sz w:val="20"/>
      <w:lang w:eastAsia="fr-FR"/>
    </w:rPr>
  </w:style>
  <w:style w:type="paragraph" w:customStyle="1" w:styleId="Lgendedelimage130">
    <w:name w:val="Légende de l'image (13)"/>
    <w:basedOn w:val="Normal"/>
    <w:link w:val="Lgendedelimage13"/>
    <w:rsid w:val="00C34875"/>
    <w:pPr>
      <w:widowControl w:val="0"/>
      <w:shd w:val="clear" w:color="auto" w:fill="FFFFFF"/>
      <w:spacing w:line="0" w:lineRule="atLeast"/>
      <w:jc w:val="right"/>
    </w:pPr>
    <w:rPr>
      <w:b/>
      <w:bCs/>
      <w:spacing w:val="-20"/>
      <w:sz w:val="22"/>
      <w:szCs w:val="22"/>
      <w:lang w:eastAsia="fr-FR"/>
    </w:rPr>
  </w:style>
  <w:style w:type="paragraph" w:customStyle="1" w:styleId="Lgendedelimage14">
    <w:name w:val="Légende de l'image (14)"/>
    <w:basedOn w:val="Normal"/>
    <w:link w:val="Lgendedelimage14Exact"/>
    <w:rsid w:val="00C34875"/>
    <w:pPr>
      <w:widowControl w:val="0"/>
      <w:shd w:val="clear" w:color="auto" w:fill="FFFFFF"/>
      <w:spacing w:line="0" w:lineRule="atLeast"/>
      <w:ind w:hanging="8"/>
    </w:pPr>
    <w:rPr>
      <w:rFonts w:ascii="Arial" w:eastAsia="Arial" w:hAnsi="Arial" w:cs="Arial"/>
      <w:sz w:val="16"/>
      <w:szCs w:val="16"/>
      <w:lang w:eastAsia="fr-FR"/>
    </w:rPr>
  </w:style>
  <w:style w:type="paragraph" w:customStyle="1" w:styleId="auteur">
    <w:name w:val="auteur"/>
    <w:basedOn w:val="Normal"/>
    <w:autoRedefine/>
    <w:rsid w:val="00BE6A42"/>
    <w:pPr>
      <w:spacing w:before="120" w:after="120"/>
      <w:ind w:left="180" w:right="1080"/>
      <w:jc w:val="right"/>
    </w:pPr>
    <w:rPr>
      <w:i/>
      <w:lang w:eastAsia="fr-FR" w:bidi="fr-FR"/>
    </w:rPr>
  </w:style>
  <w:style w:type="paragraph" w:customStyle="1" w:styleId="figtitrestR">
    <w:name w:val="fig titre st R"/>
    <w:basedOn w:val="figtitrest"/>
    <w:autoRedefine/>
    <w:rsid w:val="00980AE9"/>
    <w:rPr>
      <w:color w:val="auto"/>
    </w:rPr>
  </w:style>
  <w:style w:type="paragraph" w:customStyle="1" w:styleId="figtitrest0">
    <w:name w:val="fig titrest"/>
    <w:basedOn w:val="figtitre"/>
    <w:rsid w:val="00947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hyperlink" Target="mailto:Diane-Gabrielle.Tremblay@teluq.ca" TargetMode="External"/><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5437</Words>
  <Characters>28002</Characters>
  <Application>Microsoft Office Word</Application>
  <DocSecurity>0</DocSecurity>
  <Lines>700</Lines>
  <Paragraphs>237</Paragraphs>
  <ScaleCrop>false</ScaleCrop>
  <HeadingPairs>
    <vt:vector size="2" baseType="variant">
      <vt:variant>
        <vt:lpstr>Title</vt:lpstr>
      </vt:variant>
      <vt:variant>
        <vt:i4>1</vt:i4>
      </vt:variant>
    </vt:vector>
  </HeadingPairs>
  <TitlesOfParts>
    <vt:vector size="1" baseType="lpstr">
      <vt:lpstr>“Le labyrinthe pétrolier.”</vt:lpstr>
    </vt:vector>
  </TitlesOfParts>
  <Manager>jean-marie tremblay, bénévole, 2023</Manager>
  <Company>Les Classiques des sciences sociales</Company>
  <LinksUpToDate>false</LinksUpToDate>
  <CharactersWithSpaces>33202</CharactersWithSpaces>
  <SharedDoc>false</SharedDoc>
  <HyperlinkBase/>
  <HLinks>
    <vt:vector size="114" baseType="variant">
      <vt:variant>
        <vt:i4>917517</vt:i4>
      </vt:variant>
      <vt:variant>
        <vt:i4>21</vt:i4>
      </vt:variant>
      <vt:variant>
        <vt:i4>0</vt:i4>
      </vt:variant>
      <vt:variant>
        <vt:i4>5</vt:i4>
      </vt:variant>
      <vt:variant>
        <vt:lpwstr/>
      </vt:variant>
      <vt:variant>
        <vt:lpwstr>sommaire</vt:lpwstr>
      </vt:variant>
      <vt:variant>
        <vt:i4>6357061</vt:i4>
      </vt:variant>
      <vt:variant>
        <vt:i4>18</vt:i4>
      </vt:variant>
      <vt:variant>
        <vt:i4>0</vt:i4>
      </vt:variant>
      <vt:variant>
        <vt:i4>5</vt:i4>
      </vt:variant>
      <vt:variant>
        <vt:lpwstr/>
      </vt:variant>
      <vt:variant>
        <vt:lpwstr>Interv_no_5_Dossier_La_crise_texte_3</vt:lpwstr>
      </vt:variant>
      <vt:variant>
        <vt:i4>6946900</vt:i4>
      </vt:variant>
      <vt:variant>
        <vt:i4>15</vt:i4>
      </vt:variant>
      <vt:variant>
        <vt:i4>0</vt:i4>
      </vt:variant>
      <vt:variant>
        <vt:i4>5</vt:i4>
      </vt:variant>
      <vt:variant>
        <vt:lpwstr>mailto:Diane-Gabrielle.Tremblay@teluq.ca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2272</vt:i4>
      </vt:variant>
      <vt:variant>
        <vt:i4>1025</vt:i4>
      </vt:variant>
      <vt:variant>
        <vt:i4>1</vt:i4>
      </vt:variant>
      <vt:variant>
        <vt:lpwstr>css_logo_gris</vt:lpwstr>
      </vt:variant>
      <vt:variant>
        <vt:lpwstr/>
      </vt:variant>
      <vt:variant>
        <vt:i4>5111880</vt:i4>
      </vt:variant>
      <vt:variant>
        <vt:i4>2518</vt:i4>
      </vt:variant>
      <vt:variant>
        <vt:i4>1026</vt:i4>
      </vt:variant>
      <vt:variant>
        <vt:i4>1</vt:i4>
      </vt:variant>
      <vt:variant>
        <vt:lpwstr>UQAC_logo_2018</vt:lpwstr>
      </vt:variant>
      <vt:variant>
        <vt:lpwstr/>
      </vt:variant>
      <vt:variant>
        <vt:i4>4194334</vt:i4>
      </vt:variant>
      <vt:variant>
        <vt:i4>4875</vt:i4>
      </vt:variant>
      <vt:variant>
        <vt:i4>1027</vt:i4>
      </vt:variant>
      <vt:variant>
        <vt:i4>1</vt:i4>
      </vt:variant>
      <vt:variant>
        <vt:lpwstr>Boite_aux_lettres_clair</vt:lpwstr>
      </vt:variant>
      <vt:variant>
        <vt:lpwstr/>
      </vt:variant>
      <vt:variant>
        <vt:i4>1703963</vt:i4>
      </vt:variant>
      <vt:variant>
        <vt:i4>5840</vt:i4>
      </vt:variant>
      <vt:variant>
        <vt:i4>1028</vt:i4>
      </vt:variant>
      <vt:variant>
        <vt:i4>1</vt:i4>
      </vt:variant>
      <vt:variant>
        <vt:lpwstr>fait_sur_mac</vt:lpwstr>
      </vt:variant>
      <vt:variant>
        <vt:lpwstr/>
      </vt:variant>
      <vt:variant>
        <vt:i4>2883630</vt:i4>
      </vt:variant>
      <vt:variant>
        <vt:i4>5889</vt:i4>
      </vt:variant>
      <vt:variant>
        <vt:i4>1029</vt:i4>
      </vt:variant>
      <vt:variant>
        <vt:i4>1</vt:i4>
      </vt:variant>
      <vt:variant>
        <vt:lpwstr>Intervention_econo_no_05_L25</vt:lpwstr>
      </vt:variant>
      <vt:variant>
        <vt:lpwstr/>
      </vt:variant>
      <vt:variant>
        <vt:i4>3145838</vt:i4>
      </vt:variant>
      <vt:variant>
        <vt:i4>9878</vt:i4>
      </vt:variant>
      <vt:variant>
        <vt:i4>1032</vt:i4>
      </vt:variant>
      <vt:variant>
        <vt:i4>1</vt:i4>
      </vt:variant>
      <vt:variant>
        <vt:lpwstr>fig_p_101_st_66_50_low</vt:lpwstr>
      </vt:variant>
      <vt:variant>
        <vt:lpwstr/>
      </vt:variant>
      <vt:variant>
        <vt:i4>7405687</vt:i4>
      </vt:variant>
      <vt:variant>
        <vt:i4>11969</vt:i4>
      </vt:variant>
      <vt:variant>
        <vt:i4>1031</vt:i4>
      </vt:variant>
      <vt:variant>
        <vt:i4>1</vt:i4>
      </vt:variant>
      <vt:variant>
        <vt:lpwstr>fig_p_103_st_33_low</vt:lpwstr>
      </vt:variant>
      <vt:variant>
        <vt:lpwstr/>
      </vt:variant>
      <vt:variant>
        <vt:i4>7602296</vt:i4>
      </vt:variant>
      <vt:variant>
        <vt:i4>21696</vt:i4>
      </vt:variant>
      <vt:variant>
        <vt:i4>1033</vt:i4>
      </vt:variant>
      <vt:variant>
        <vt:i4>1</vt:i4>
      </vt:variant>
      <vt:variant>
        <vt:lpwstr>fig_p_109_st_66_low</vt:lpwstr>
      </vt:variant>
      <vt:variant>
        <vt:lpwstr/>
      </vt:variant>
      <vt:variant>
        <vt:i4>7733367</vt:i4>
      </vt:variant>
      <vt:variant>
        <vt:i4>22178</vt:i4>
      </vt:variant>
      <vt:variant>
        <vt:i4>1034</vt:i4>
      </vt:variant>
      <vt:variant>
        <vt:i4>1</vt:i4>
      </vt:variant>
      <vt:variant>
        <vt:lpwstr>fig_p_110_st_50_low</vt:lpwstr>
      </vt:variant>
      <vt:variant>
        <vt:lpwstr/>
      </vt:variant>
      <vt:variant>
        <vt:i4>2883700</vt:i4>
      </vt:variant>
      <vt:variant>
        <vt:i4>23905</vt:i4>
      </vt:variant>
      <vt:variant>
        <vt:i4>1035</vt:i4>
      </vt:variant>
      <vt:variant>
        <vt:i4>1</vt:i4>
      </vt:variant>
      <vt:variant>
        <vt:lpwstr>fig_p_111_50_low</vt:lpwstr>
      </vt:variant>
      <vt:variant>
        <vt:lpwstr/>
      </vt:variant>
      <vt:variant>
        <vt:i4>6815853</vt:i4>
      </vt:variant>
      <vt:variant>
        <vt:i4>32608</vt:i4>
      </vt:variant>
      <vt:variant>
        <vt:i4>1036</vt:i4>
      </vt:variant>
      <vt:variant>
        <vt:i4>1</vt:i4>
      </vt:variant>
      <vt:variant>
        <vt:lpwstr>fig_p_116_low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labyrinthe pétrolier.”</dc:title>
  <dc:subject/>
  <dc:creator>par Pierre Paquette, 1980</dc:creator>
  <cp:keywords>classiques.sc.soc@gmail.com</cp:keywords>
  <dc:description>http://classiques.uqac.ca/</dc:description>
  <cp:lastModifiedBy>jean-marie tremblay</cp:lastModifiedBy>
  <cp:revision>2</cp:revision>
  <cp:lastPrinted>2001-08-26T19:33:00Z</cp:lastPrinted>
  <dcterms:created xsi:type="dcterms:W3CDTF">2023-10-16T13:38:00Z</dcterms:created>
  <dcterms:modified xsi:type="dcterms:W3CDTF">2023-10-16T13:38:00Z</dcterms:modified>
  <cp:category>jean-marie tremblay, sociologue, fondateur, 1993</cp:category>
</cp:coreProperties>
</file>