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F35523" w:rsidRPr="004511DA">
        <w:tblPrEx>
          <w:tblCellMar>
            <w:top w:w="0" w:type="dxa"/>
            <w:bottom w:w="0" w:type="dxa"/>
          </w:tblCellMar>
        </w:tblPrEx>
        <w:tc>
          <w:tcPr>
            <w:tcW w:w="9160" w:type="dxa"/>
            <w:shd w:val="clear" w:color="auto" w:fill="EDE6F4"/>
          </w:tcPr>
          <w:p w:rsidR="00F35523" w:rsidRPr="004511DA" w:rsidRDefault="00F35523">
            <w:pPr>
              <w:ind w:firstLine="0"/>
              <w:jc w:val="center"/>
              <w:rPr>
                <w:sz w:val="20"/>
                <w:lang w:bidi="ar-SA"/>
              </w:rPr>
            </w:pPr>
            <w:bookmarkStart w:id="0" w:name="_GoBack"/>
            <w:bookmarkEnd w:id="0"/>
          </w:p>
          <w:p w:rsidR="00F35523" w:rsidRPr="004511DA" w:rsidRDefault="00F35523">
            <w:pPr>
              <w:ind w:firstLine="0"/>
              <w:jc w:val="center"/>
              <w:rPr>
                <w:color w:val="FF0000"/>
                <w:sz w:val="20"/>
                <w:lang w:bidi="ar-SA"/>
              </w:rPr>
            </w:pPr>
          </w:p>
          <w:p w:rsidR="00F35523" w:rsidRPr="004511DA" w:rsidRDefault="00F35523">
            <w:pPr>
              <w:ind w:firstLine="0"/>
              <w:jc w:val="center"/>
              <w:rPr>
                <w:color w:val="FF0000"/>
                <w:sz w:val="20"/>
                <w:lang w:bidi="ar-SA"/>
              </w:rPr>
            </w:pPr>
          </w:p>
          <w:p w:rsidR="00F35523" w:rsidRPr="004511DA" w:rsidRDefault="00F35523">
            <w:pPr>
              <w:ind w:firstLine="0"/>
              <w:jc w:val="center"/>
              <w:rPr>
                <w:color w:val="FF0000"/>
                <w:sz w:val="20"/>
                <w:lang w:bidi="ar-SA"/>
              </w:rPr>
            </w:pPr>
          </w:p>
          <w:p w:rsidR="00F35523" w:rsidRPr="004511DA" w:rsidRDefault="00F35523">
            <w:pPr>
              <w:ind w:firstLine="0"/>
              <w:jc w:val="center"/>
              <w:rPr>
                <w:color w:val="FF0000"/>
                <w:sz w:val="20"/>
                <w:lang w:bidi="ar-SA"/>
              </w:rPr>
            </w:pPr>
          </w:p>
          <w:p w:rsidR="00F35523" w:rsidRPr="004511DA" w:rsidRDefault="00F35523">
            <w:pPr>
              <w:ind w:firstLine="0"/>
              <w:jc w:val="center"/>
              <w:rPr>
                <w:b/>
                <w:sz w:val="36"/>
                <w:lang w:bidi="ar-SA"/>
              </w:rPr>
            </w:pPr>
            <w:r w:rsidRPr="004511DA">
              <w:rPr>
                <w:sz w:val="36"/>
                <w:lang w:bidi="ar-SA"/>
              </w:rPr>
              <w:t xml:space="preserve">Gérard </w:t>
            </w:r>
            <w:r w:rsidRPr="0002157B">
              <w:rPr>
                <w:caps/>
                <w:sz w:val="36"/>
                <w:lang w:bidi="ar-SA"/>
              </w:rPr>
              <w:t>Boismenu</w:t>
            </w:r>
            <w:r>
              <w:rPr>
                <w:sz w:val="36"/>
                <w:lang w:bidi="ar-SA"/>
              </w:rPr>
              <w:t xml:space="preserve"> et Alain NOËL</w:t>
            </w:r>
          </w:p>
          <w:p w:rsidR="00F35523" w:rsidRPr="004511DA" w:rsidRDefault="00F35523">
            <w:pPr>
              <w:ind w:firstLine="0"/>
              <w:jc w:val="center"/>
              <w:rPr>
                <w:sz w:val="20"/>
                <w:lang w:bidi="ar-SA"/>
              </w:rPr>
            </w:pPr>
            <w:r w:rsidRPr="004511DA">
              <w:rPr>
                <w:sz w:val="20"/>
                <w:lang w:bidi="ar-SA"/>
              </w:rPr>
              <w:t>Professeur</w:t>
            </w:r>
            <w:r>
              <w:rPr>
                <w:sz w:val="20"/>
                <w:lang w:bidi="ar-SA"/>
              </w:rPr>
              <w:t>s</w:t>
            </w:r>
            <w:r w:rsidRPr="004511DA">
              <w:rPr>
                <w:sz w:val="20"/>
                <w:lang w:bidi="ar-SA"/>
              </w:rPr>
              <w:t xml:space="preserve"> au département de science politique</w:t>
            </w:r>
            <w:r w:rsidRPr="004511DA">
              <w:rPr>
                <w:sz w:val="20"/>
                <w:lang w:bidi="ar-SA"/>
              </w:rPr>
              <w:br/>
              <w:t>de l’Université de Montréal</w:t>
            </w:r>
          </w:p>
          <w:p w:rsidR="00F35523" w:rsidRPr="004511DA" w:rsidRDefault="00F35523">
            <w:pPr>
              <w:ind w:firstLine="0"/>
              <w:jc w:val="center"/>
              <w:rPr>
                <w:sz w:val="20"/>
                <w:lang w:bidi="ar-SA"/>
              </w:rPr>
            </w:pPr>
          </w:p>
          <w:p w:rsidR="00F35523" w:rsidRPr="004511DA" w:rsidRDefault="00F35523" w:rsidP="00F35523">
            <w:pPr>
              <w:ind w:firstLine="0"/>
              <w:jc w:val="center"/>
              <w:rPr>
                <w:color w:val="FF0000"/>
                <w:sz w:val="36"/>
                <w:lang w:bidi="ar-SA"/>
              </w:rPr>
            </w:pPr>
            <w:r w:rsidRPr="004511DA">
              <w:rPr>
                <w:sz w:val="36"/>
                <w:lang w:bidi="ar-SA"/>
              </w:rPr>
              <w:t>(199</w:t>
            </w:r>
            <w:r>
              <w:rPr>
                <w:sz w:val="36"/>
                <w:lang w:bidi="ar-SA"/>
              </w:rPr>
              <w:t>5</w:t>
            </w:r>
            <w:r w:rsidRPr="004511DA">
              <w:rPr>
                <w:sz w:val="36"/>
                <w:lang w:bidi="ar-SA"/>
              </w:rPr>
              <w:t>)</w:t>
            </w:r>
          </w:p>
          <w:p w:rsidR="00F35523" w:rsidRPr="004511DA" w:rsidRDefault="00F35523">
            <w:pPr>
              <w:pStyle w:val="Corpsdetexte"/>
              <w:widowControl w:val="0"/>
              <w:spacing w:before="0" w:after="0"/>
              <w:rPr>
                <w:color w:val="FF0000"/>
                <w:sz w:val="24"/>
                <w:lang w:bidi="ar-SA"/>
              </w:rPr>
            </w:pPr>
          </w:p>
          <w:p w:rsidR="00F35523" w:rsidRPr="004511DA" w:rsidRDefault="00F35523">
            <w:pPr>
              <w:pStyle w:val="Corpsdetexte"/>
              <w:widowControl w:val="0"/>
              <w:spacing w:before="0" w:after="0"/>
              <w:rPr>
                <w:color w:val="FF0000"/>
                <w:sz w:val="24"/>
                <w:lang w:bidi="ar-SA"/>
              </w:rPr>
            </w:pPr>
          </w:p>
          <w:p w:rsidR="00F35523" w:rsidRPr="004511DA" w:rsidRDefault="00F35523" w:rsidP="00F35523">
            <w:pPr>
              <w:pStyle w:val="Titlest"/>
            </w:pPr>
            <w:r w:rsidRPr="004511DA">
              <w:t>“</w:t>
            </w:r>
            <w:r>
              <w:t>La restructuration</w:t>
            </w:r>
            <w:r>
              <w:br/>
              <w:t>de la protection sociale</w:t>
            </w:r>
            <w:r>
              <w:br/>
              <w:t>en Am</w:t>
            </w:r>
            <w:r>
              <w:t>é</w:t>
            </w:r>
            <w:r>
              <w:t>rique du Nord</w:t>
            </w:r>
            <w:r>
              <w:br/>
              <w:t>et en Europe</w:t>
            </w:r>
            <w:r w:rsidRPr="004511DA">
              <w:t>.”</w:t>
            </w:r>
          </w:p>
          <w:p w:rsidR="00F35523" w:rsidRPr="004511DA" w:rsidRDefault="00F35523">
            <w:pPr>
              <w:widowControl w:val="0"/>
              <w:ind w:firstLine="0"/>
              <w:jc w:val="both"/>
              <w:rPr>
                <w:sz w:val="20"/>
                <w:lang w:bidi="ar-SA"/>
              </w:rPr>
            </w:pPr>
          </w:p>
          <w:p w:rsidR="00F35523" w:rsidRPr="004511DA" w:rsidRDefault="00F35523" w:rsidP="00F35523">
            <w:pPr>
              <w:widowControl w:val="0"/>
              <w:ind w:firstLine="0"/>
              <w:jc w:val="center"/>
              <w:rPr>
                <w:lang w:bidi="ar-SA"/>
              </w:rPr>
            </w:pPr>
          </w:p>
          <w:p w:rsidR="00F35523" w:rsidRPr="004511DA" w:rsidRDefault="00F35523" w:rsidP="00F35523">
            <w:pPr>
              <w:widowControl w:val="0"/>
              <w:ind w:firstLine="0"/>
              <w:jc w:val="center"/>
              <w:rPr>
                <w:lang w:bidi="ar-SA"/>
              </w:rPr>
            </w:pPr>
          </w:p>
          <w:p w:rsidR="00F35523" w:rsidRPr="004511DA" w:rsidRDefault="00F35523" w:rsidP="00F35523">
            <w:pPr>
              <w:widowControl w:val="0"/>
              <w:ind w:firstLine="0"/>
              <w:jc w:val="center"/>
              <w:rPr>
                <w:sz w:val="20"/>
                <w:lang w:bidi="ar-SA"/>
              </w:rPr>
            </w:pPr>
          </w:p>
          <w:p w:rsidR="00F35523" w:rsidRPr="004511DA" w:rsidRDefault="00F35523" w:rsidP="00F35523">
            <w:pPr>
              <w:widowControl w:val="0"/>
              <w:ind w:firstLine="0"/>
              <w:jc w:val="center"/>
              <w:rPr>
                <w:sz w:val="20"/>
                <w:lang w:bidi="ar-SA"/>
              </w:rPr>
            </w:pPr>
          </w:p>
          <w:p w:rsidR="00F35523" w:rsidRPr="004511DA" w:rsidRDefault="00F35523" w:rsidP="00F35523">
            <w:pPr>
              <w:ind w:firstLine="0"/>
              <w:jc w:val="center"/>
              <w:rPr>
                <w:sz w:val="20"/>
                <w:lang w:bidi="ar-SA"/>
              </w:rPr>
            </w:pPr>
            <w:r w:rsidRPr="004511DA">
              <w:rPr>
                <w:b/>
                <w:lang w:bidi="ar-SA"/>
              </w:rPr>
              <w:t>LES CLASSIQUES DES SCIENCES SOCIALES</w:t>
            </w:r>
            <w:r w:rsidRPr="004511DA">
              <w:rPr>
                <w:lang w:bidi="ar-SA"/>
              </w:rPr>
              <w:br/>
              <w:t>CHICOUTIMI, QUÉBEC</w:t>
            </w:r>
            <w:r w:rsidRPr="004511DA">
              <w:rPr>
                <w:lang w:bidi="ar-SA"/>
              </w:rPr>
              <w:br/>
            </w:r>
            <w:hyperlink r:id="rId7" w:history="1">
              <w:r w:rsidRPr="004511DA">
                <w:rPr>
                  <w:rStyle w:val="Lienhypertexte"/>
                  <w:lang w:bidi="ar-SA"/>
                </w:rPr>
                <w:t>http://classiques.uqac.ca/</w:t>
              </w:r>
            </w:hyperlink>
          </w:p>
          <w:p w:rsidR="00F35523" w:rsidRPr="004511DA" w:rsidRDefault="00F35523" w:rsidP="00F35523">
            <w:pPr>
              <w:widowControl w:val="0"/>
              <w:ind w:firstLine="0"/>
              <w:jc w:val="both"/>
              <w:rPr>
                <w:lang w:bidi="ar-SA"/>
              </w:rPr>
            </w:pPr>
          </w:p>
          <w:p w:rsidR="00F35523" w:rsidRPr="004511DA" w:rsidRDefault="00F35523">
            <w:pPr>
              <w:widowControl w:val="0"/>
              <w:ind w:firstLine="0"/>
              <w:jc w:val="both"/>
              <w:rPr>
                <w:sz w:val="20"/>
                <w:lang w:bidi="ar-SA"/>
              </w:rPr>
            </w:pPr>
          </w:p>
          <w:p w:rsidR="00F35523" w:rsidRPr="004511DA" w:rsidRDefault="00F35523">
            <w:pPr>
              <w:widowControl w:val="0"/>
              <w:ind w:firstLine="0"/>
              <w:jc w:val="both"/>
              <w:rPr>
                <w:sz w:val="20"/>
                <w:lang w:bidi="ar-SA"/>
              </w:rPr>
            </w:pPr>
          </w:p>
          <w:p w:rsidR="00F35523" w:rsidRPr="004511DA" w:rsidRDefault="00F35523">
            <w:pPr>
              <w:widowControl w:val="0"/>
              <w:ind w:firstLine="0"/>
              <w:jc w:val="both"/>
              <w:rPr>
                <w:sz w:val="20"/>
                <w:lang w:bidi="ar-SA"/>
              </w:rPr>
            </w:pPr>
          </w:p>
          <w:p w:rsidR="00F35523" w:rsidRPr="004511DA" w:rsidRDefault="00F35523">
            <w:pPr>
              <w:widowControl w:val="0"/>
              <w:ind w:firstLine="0"/>
              <w:jc w:val="both"/>
              <w:rPr>
                <w:sz w:val="20"/>
                <w:lang w:bidi="ar-SA"/>
              </w:rPr>
            </w:pPr>
          </w:p>
          <w:p w:rsidR="00F35523" w:rsidRPr="004511DA" w:rsidRDefault="00F35523">
            <w:pPr>
              <w:widowControl w:val="0"/>
              <w:ind w:firstLine="0"/>
              <w:jc w:val="both"/>
              <w:rPr>
                <w:sz w:val="20"/>
                <w:lang w:bidi="ar-SA"/>
              </w:rPr>
            </w:pPr>
          </w:p>
          <w:p w:rsidR="00F35523" w:rsidRPr="004511DA" w:rsidRDefault="00F35523">
            <w:pPr>
              <w:widowControl w:val="0"/>
              <w:ind w:firstLine="0"/>
              <w:jc w:val="both"/>
              <w:rPr>
                <w:sz w:val="20"/>
                <w:lang w:bidi="ar-SA"/>
              </w:rPr>
            </w:pPr>
          </w:p>
          <w:p w:rsidR="00F35523" w:rsidRPr="004511DA" w:rsidRDefault="00F35523">
            <w:pPr>
              <w:widowControl w:val="0"/>
              <w:ind w:firstLine="0"/>
              <w:jc w:val="both"/>
              <w:rPr>
                <w:sz w:val="20"/>
                <w:lang w:bidi="ar-SA"/>
              </w:rPr>
            </w:pPr>
          </w:p>
          <w:p w:rsidR="00F35523" w:rsidRPr="004511DA" w:rsidRDefault="00F35523">
            <w:pPr>
              <w:widowControl w:val="0"/>
              <w:ind w:firstLine="0"/>
              <w:jc w:val="both"/>
              <w:rPr>
                <w:sz w:val="20"/>
                <w:lang w:bidi="ar-SA"/>
              </w:rPr>
            </w:pPr>
          </w:p>
          <w:p w:rsidR="00F35523" w:rsidRPr="004511DA" w:rsidRDefault="00F35523">
            <w:pPr>
              <w:widowControl w:val="0"/>
              <w:ind w:firstLine="0"/>
              <w:jc w:val="both"/>
              <w:rPr>
                <w:sz w:val="20"/>
                <w:lang w:bidi="ar-SA"/>
              </w:rPr>
            </w:pPr>
          </w:p>
          <w:p w:rsidR="00F35523" w:rsidRPr="004511DA" w:rsidRDefault="00F35523">
            <w:pPr>
              <w:ind w:firstLine="0"/>
              <w:jc w:val="both"/>
              <w:rPr>
                <w:lang w:bidi="ar-SA"/>
              </w:rPr>
            </w:pPr>
          </w:p>
        </w:tc>
      </w:tr>
    </w:tbl>
    <w:p w:rsidR="00F35523" w:rsidRPr="004511DA" w:rsidRDefault="00F35523" w:rsidP="00F35523">
      <w:pPr>
        <w:ind w:firstLine="0"/>
        <w:jc w:val="both"/>
      </w:pPr>
      <w:r w:rsidRPr="004511DA">
        <w:br w:type="page"/>
      </w:r>
    </w:p>
    <w:p w:rsidR="00F35523" w:rsidRPr="004511DA" w:rsidRDefault="00F35523" w:rsidP="00F35523">
      <w:pPr>
        <w:ind w:firstLine="0"/>
        <w:jc w:val="both"/>
      </w:pPr>
    </w:p>
    <w:p w:rsidR="00F35523" w:rsidRPr="004511DA" w:rsidRDefault="00F35523" w:rsidP="00F35523">
      <w:pPr>
        <w:ind w:firstLine="0"/>
        <w:jc w:val="both"/>
      </w:pPr>
    </w:p>
    <w:p w:rsidR="00F35523" w:rsidRPr="004511DA" w:rsidRDefault="00F35523" w:rsidP="00F35523">
      <w:pPr>
        <w:ind w:firstLine="0"/>
        <w:jc w:val="both"/>
      </w:pPr>
    </w:p>
    <w:p w:rsidR="00F35523" w:rsidRPr="004511DA" w:rsidRDefault="0044725F" w:rsidP="00F35523">
      <w:pPr>
        <w:ind w:firstLine="0"/>
        <w:jc w:val="right"/>
      </w:pPr>
      <w:r w:rsidRPr="004511DA">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F35523" w:rsidRPr="004511DA" w:rsidRDefault="00F35523" w:rsidP="00F35523">
      <w:pPr>
        <w:ind w:firstLine="0"/>
        <w:jc w:val="right"/>
      </w:pPr>
      <w:hyperlink r:id="rId9" w:history="1">
        <w:r w:rsidRPr="004511DA">
          <w:rPr>
            <w:rStyle w:val="Lienhypertexte"/>
          </w:rPr>
          <w:t>http://classiques.uqac.ca/</w:t>
        </w:r>
      </w:hyperlink>
      <w:r w:rsidRPr="004511DA">
        <w:t xml:space="preserve"> </w:t>
      </w:r>
    </w:p>
    <w:p w:rsidR="00F35523" w:rsidRPr="004511DA" w:rsidRDefault="00F35523" w:rsidP="00F35523">
      <w:pPr>
        <w:ind w:firstLine="0"/>
        <w:jc w:val="both"/>
      </w:pPr>
    </w:p>
    <w:p w:rsidR="00F35523" w:rsidRPr="004511DA" w:rsidRDefault="00F35523" w:rsidP="00F35523">
      <w:pPr>
        <w:ind w:firstLine="0"/>
        <w:jc w:val="both"/>
      </w:pPr>
      <w:r w:rsidRPr="004511DA">
        <w:rPr>
          <w:i/>
        </w:rPr>
        <w:t>Les Classiques des sciences sociales</w:t>
      </w:r>
      <w:r w:rsidRPr="004511DA">
        <w:t xml:space="preserve"> est une bibliothèque numérique en libre accès, fondée au Cégep de Chicoutimi en 1993 et développée en partenariat avec l’Université du Québec à Chicoutimi (UQÀC) d</w:t>
      </w:r>
      <w:r w:rsidRPr="004511DA">
        <w:t>e</w:t>
      </w:r>
      <w:r w:rsidRPr="004511DA">
        <w:t>puis 2000.</w:t>
      </w:r>
    </w:p>
    <w:p w:rsidR="00F35523" w:rsidRPr="004511DA" w:rsidRDefault="00F35523" w:rsidP="00F35523">
      <w:pPr>
        <w:ind w:firstLine="0"/>
        <w:jc w:val="both"/>
      </w:pPr>
    </w:p>
    <w:p w:rsidR="00F35523" w:rsidRPr="004511DA" w:rsidRDefault="00F35523" w:rsidP="00F35523">
      <w:pPr>
        <w:ind w:firstLine="0"/>
        <w:jc w:val="both"/>
      </w:pPr>
    </w:p>
    <w:p w:rsidR="00F35523" w:rsidRPr="004511DA" w:rsidRDefault="0044725F" w:rsidP="00F35523">
      <w:pPr>
        <w:ind w:firstLine="0"/>
        <w:jc w:val="both"/>
      </w:pPr>
      <w:r w:rsidRPr="004511DA">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F35523" w:rsidRPr="004511DA" w:rsidRDefault="00F35523" w:rsidP="00F35523">
      <w:pPr>
        <w:ind w:firstLine="0"/>
        <w:jc w:val="both"/>
      </w:pPr>
      <w:hyperlink r:id="rId11" w:history="1">
        <w:r w:rsidRPr="004511DA">
          <w:rPr>
            <w:rStyle w:val="Lienhypertexte"/>
          </w:rPr>
          <w:t>http://bibliotheque.uqac.ca/</w:t>
        </w:r>
      </w:hyperlink>
      <w:r w:rsidRPr="004511DA">
        <w:t xml:space="preserve"> </w:t>
      </w:r>
    </w:p>
    <w:p w:rsidR="00F35523" w:rsidRPr="004511DA" w:rsidRDefault="00F35523" w:rsidP="00F35523">
      <w:pPr>
        <w:ind w:firstLine="0"/>
        <w:jc w:val="both"/>
      </w:pPr>
    </w:p>
    <w:p w:rsidR="00F35523" w:rsidRPr="004511DA" w:rsidRDefault="00F35523" w:rsidP="00F35523">
      <w:pPr>
        <w:ind w:firstLine="0"/>
        <w:jc w:val="both"/>
      </w:pPr>
    </w:p>
    <w:p w:rsidR="00F35523" w:rsidRPr="004511DA" w:rsidRDefault="00F35523" w:rsidP="00F35523">
      <w:pPr>
        <w:ind w:firstLine="0"/>
        <w:jc w:val="both"/>
      </w:pPr>
      <w:r w:rsidRPr="004511DA">
        <w:t>En 2018, Les Classiques des sciences sociales fêtaient leur 25</w:t>
      </w:r>
      <w:r w:rsidRPr="004511DA">
        <w:rPr>
          <w:vertAlign w:val="superscript"/>
        </w:rPr>
        <w:t>e</w:t>
      </w:r>
      <w:r w:rsidRPr="004511DA">
        <w:t xml:space="preserve"> ann</w:t>
      </w:r>
      <w:r w:rsidRPr="004511DA">
        <w:t>i</w:t>
      </w:r>
      <w:r w:rsidRPr="004511DA">
        <w:t>versa</w:t>
      </w:r>
      <w:r w:rsidRPr="004511DA">
        <w:t>i</w:t>
      </w:r>
      <w:r w:rsidRPr="004511DA">
        <w:t>re de fondation. Une belle initiative citoyenne.</w:t>
      </w:r>
    </w:p>
    <w:p w:rsidR="00F35523" w:rsidRPr="004511DA" w:rsidRDefault="00F35523" w:rsidP="00F35523">
      <w:pPr>
        <w:widowControl w:val="0"/>
        <w:autoSpaceDE w:val="0"/>
        <w:autoSpaceDN w:val="0"/>
        <w:adjustRightInd w:val="0"/>
        <w:rPr>
          <w:rFonts w:ascii="Arial" w:hAnsi="Arial"/>
          <w:sz w:val="32"/>
          <w:szCs w:val="32"/>
        </w:rPr>
      </w:pPr>
      <w:r w:rsidRPr="004511DA">
        <w:br w:type="page"/>
      </w:r>
    </w:p>
    <w:p w:rsidR="00F35523" w:rsidRPr="004511DA" w:rsidRDefault="00F35523">
      <w:pPr>
        <w:widowControl w:val="0"/>
        <w:autoSpaceDE w:val="0"/>
        <w:autoSpaceDN w:val="0"/>
        <w:adjustRightInd w:val="0"/>
        <w:jc w:val="center"/>
        <w:rPr>
          <w:rFonts w:ascii="Arial" w:hAnsi="Arial"/>
          <w:b/>
          <w:color w:val="008B00"/>
          <w:sz w:val="36"/>
          <w:szCs w:val="36"/>
        </w:rPr>
      </w:pPr>
      <w:r w:rsidRPr="004511DA">
        <w:rPr>
          <w:rFonts w:ascii="Arial" w:hAnsi="Arial"/>
          <w:b/>
          <w:color w:val="008B00"/>
          <w:sz w:val="36"/>
          <w:szCs w:val="36"/>
        </w:rPr>
        <w:t>Politique d'utilisation</w:t>
      </w:r>
      <w:r w:rsidRPr="004511DA">
        <w:rPr>
          <w:rFonts w:ascii="Arial-BoldMT" w:hAnsi="Arial-BoldMT"/>
          <w:b/>
          <w:color w:val="008B00"/>
          <w:sz w:val="36"/>
          <w:szCs w:val="36"/>
        </w:rPr>
        <w:br/>
      </w:r>
      <w:r w:rsidRPr="004511DA">
        <w:rPr>
          <w:rFonts w:ascii="Arial" w:hAnsi="Arial"/>
          <w:b/>
          <w:color w:val="008B00"/>
          <w:sz w:val="36"/>
          <w:szCs w:val="36"/>
        </w:rPr>
        <w:t>de la bibliothèque des Classiques</w:t>
      </w:r>
    </w:p>
    <w:p w:rsidR="00F35523" w:rsidRPr="004511DA" w:rsidRDefault="00F35523">
      <w:pPr>
        <w:widowControl w:val="0"/>
        <w:autoSpaceDE w:val="0"/>
        <w:autoSpaceDN w:val="0"/>
        <w:adjustRightInd w:val="0"/>
        <w:rPr>
          <w:rFonts w:ascii="Arial" w:hAnsi="Arial"/>
          <w:sz w:val="32"/>
          <w:szCs w:val="32"/>
        </w:rPr>
      </w:pPr>
    </w:p>
    <w:p w:rsidR="00F35523" w:rsidRPr="004511DA" w:rsidRDefault="00F35523">
      <w:pPr>
        <w:widowControl w:val="0"/>
        <w:autoSpaceDE w:val="0"/>
        <w:autoSpaceDN w:val="0"/>
        <w:adjustRightInd w:val="0"/>
        <w:jc w:val="both"/>
        <w:rPr>
          <w:rFonts w:ascii="Arial" w:hAnsi="Arial"/>
          <w:color w:val="1C1C1C"/>
          <w:sz w:val="26"/>
          <w:szCs w:val="26"/>
        </w:rPr>
      </w:pPr>
    </w:p>
    <w:p w:rsidR="00F35523" w:rsidRPr="004511DA" w:rsidRDefault="00F35523">
      <w:pPr>
        <w:widowControl w:val="0"/>
        <w:autoSpaceDE w:val="0"/>
        <w:autoSpaceDN w:val="0"/>
        <w:adjustRightInd w:val="0"/>
        <w:jc w:val="both"/>
        <w:rPr>
          <w:rFonts w:ascii="Arial" w:hAnsi="Arial"/>
          <w:color w:val="1C1C1C"/>
          <w:sz w:val="26"/>
          <w:szCs w:val="26"/>
        </w:rPr>
      </w:pPr>
    </w:p>
    <w:p w:rsidR="00F35523" w:rsidRPr="004511DA" w:rsidRDefault="00F35523">
      <w:pPr>
        <w:widowControl w:val="0"/>
        <w:autoSpaceDE w:val="0"/>
        <w:autoSpaceDN w:val="0"/>
        <w:adjustRightInd w:val="0"/>
        <w:jc w:val="both"/>
        <w:rPr>
          <w:rFonts w:ascii="Arial" w:hAnsi="Arial"/>
          <w:color w:val="1C1C1C"/>
          <w:sz w:val="26"/>
          <w:szCs w:val="26"/>
        </w:rPr>
      </w:pPr>
      <w:r w:rsidRPr="004511DA">
        <w:rPr>
          <w:rFonts w:ascii="Arial" w:hAnsi="Arial"/>
          <w:color w:val="1C1C1C"/>
          <w:sz w:val="26"/>
          <w:szCs w:val="26"/>
        </w:rPr>
        <w:t>Toute reproduction et rediffusion de nos fichiers est inte</w:t>
      </w:r>
      <w:r w:rsidRPr="004511DA">
        <w:rPr>
          <w:rFonts w:ascii="Arial" w:hAnsi="Arial"/>
          <w:color w:val="1C1C1C"/>
          <w:sz w:val="26"/>
          <w:szCs w:val="26"/>
        </w:rPr>
        <w:t>r</w:t>
      </w:r>
      <w:r w:rsidRPr="004511DA">
        <w:rPr>
          <w:rFonts w:ascii="Arial" w:hAnsi="Arial"/>
          <w:color w:val="1C1C1C"/>
          <w:sz w:val="26"/>
          <w:szCs w:val="26"/>
        </w:rPr>
        <w:t>dite, même avec la mention de leur provenance, sans l’autorisation fo</w:t>
      </w:r>
      <w:r w:rsidRPr="004511DA">
        <w:rPr>
          <w:rFonts w:ascii="Arial" w:hAnsi="Arial"/>
          <w:color w:val="1C1C1C"/>
          <w:sz w:val="26"/>
          <w:szCs w:val="26"/>
        </w:rPr>
        <w:t>r</w:t>
      </w:r>
      <w:r w:rsidRPr="004511DA">
        <w:rPr>
          <w:rFonts w:ascii="Arial" w:hAnsi="Arial"/>
          <w:color w:val="1C1C1C"/>
          <w:sz w:val="26"/>
          <w:szCs w:val="26"/>
        </w:rPr>
        <w:t>melle, écrite, du fondateur des Classiques des sciences sociales, Jean-Marie Tremblay, sociologue.</w:t>
      </w:r>
    </w:p>
    <w:p w:rsidR="00F35523" w:rsidRPr="004511DA" w:rsidRDefault="00F35523">
      <w:pPr>
        <w:widowControl w:val="0"/>
        <w:autoSpaceDE w:val="0"/>
        <w:autoSpaceDN w:val="0"/>
        <w:adjustRightInd w:val="0"/>
        <w:jc w:val="both"/>
        <w:rPr>
          <w:rFonts w:ascii="Arial" w:hAnsi="Arial"/>
          <w:color w:val="1C1C1C"/>
          <w:sz w:val="26"/>
          <w:szCs w:val="26"/>
        </w:rPr>
      </w:pPr>
    </w:p>
    <w:p w:rsidR="00F35523" w:rsidRPr="004511DA" w:rsidRDefault="00F35523" w:rsidP="00F35523">
      <w:pPr>
        <w:widowControl w:val="0"/>
        <w:autoSpaceDE w:val="0"/>
        <w:autoSpaceDN w:val="0"/>
        <w:adjustRightInd w:val="0"/>
        <w:jc w:val="both"/>
        <w:rPr>
          <w:rFonts w:ascii="Arial" w:hAnsi="Arial"/>
          <w:color w:val="1C1C1C"/>
          <w:sz w:val="26"/>
          <w:szCs w:val="26"/>
        </w:rPr>
      </w:pPr>
      <w:r w:rsidRPr="004511DA">
        <w:rPr>
          <w:rFonts w:ascii="Arial" w:hAnsi="Arial"/>
          <w:color w:val="1C1C1C"/>
          <w:sz w:val="26"/>
          <w:szCs w:val="26"/>
        </w:rPr>
        <w:t>Les fichiers des Classiques des sciences sociales ne peuvent sans autorisation formelle:</w:t>
      </w:r>
    </w:p>
    <w:p w:rsidR="00F35523" w:rsidRPr="004511DA" w:rsidRDefault="00F35523" w:rsidP="00F35523">
      <w:pPr>
        <w:widowControl w:val="0"/>
        <w:autoSpaceDE w:val="0"/>
        <w:autoSpaceDN w:val="0"/>
        <w:adjustRightInd w:val="0"/>
        <w:jc w:val="both"/>
        <w:rPr>
          <w:rFonts w:ascii="Arial" w:hAnsi="Arial"/>
          <w:color w:val="1C1C1C"/>
          <w:sz w:val="26"/>
          <w:szCs w:val="26"/>
        </w:rPr>
      </w:pPr>
    </w:p>
    <w:p w:rsidR="00F35523" w:rsidRPr="004511DA" w:rsidRDefault="00F35523" w:rsidP="00F35523">
      <w:pPr>
        <w:widowControl w:val="0"/>
        <w:autoSpaceDE w:val="0"/>
        <w:autoSpaceDN w:val="0"/>
        <w:adjustRightInd w:val="0"/>
        <w:jc w:val="both"/>
        <w:rPr>
          <w:rFonts w:ascii="Arial" w:hAnsi="Arial"/>
          <w:color w:val="1C1C1C"/>
          <w:sz w:val="26"/>
          <w:szCs w:val="26"/>
        </w:rPr>
      </w:pPr>
      <w:r w:rsidRPr="004511DA">
        <w:rPr>
          <w:rFonts w:ascii="Arial" w:hAnsi="Arial"/>
          <w:color w:val="1C1C1C"/>
          <w:sz w:val="26"/>
          <w:szCs w:val="26"/>
        </w:rPr>
        <w:t>- être hébergés (en fichier ou page web, en totalité ou en partie) sur un serveur autre que celui des Classiques.</w:t>
      </w:r>
    </w:p>
    <w:p w:rsidR="00F35523" w:rsidRPr="004511DA" w:rsidRDefault="00F35523" w:rsidP="00F35523">
      <w:pPr>
        <w:widowControl w:val="0"/>
        <w:autoSpaceDE w:val="0"/>
        <w:autoSpaceDN w:val="0"/>
        <w:adjustRightInd w:val="0"/>
        <w:jc w:val="both"/>
        <w:rPr>
          <w:rFonts w:ascii="Arial" w:hAnsi="Arial"/>
          <w:color w:val="1C1C1C"/>
          <w:sz w:val="26"/>
          <w:szCs w:val="26"/>
        </w:rPr>
      </w:pPr>
      <w:r w:rsidRPr="004511DA">
        <w:rPr>
          <w:rFonts w:ascii="Arial" w:hAnsi="Arial"/>
          <w:color w:val="1C1C1C"/>
          <w:sz w:val="26"/>
          <w:szCs w:val="26"/>
        </w:rPr>
        <w:t>- servir de base de travail à un autre fichier modifié ensuite par tout autre moyen (couleur, police, mise en page, extraits, support, etc...),</w:t>
      </w:r>
    </w:p>
    <w:p w:rsidR="00F35523" w:rsidRPr="004511DA" w:rsidRDefault="00F35523" w:rsidP="00F35523">
      <w:pPr>
        <w:widowControl w:val="0"/>
        <w:autoSpaceDE w:val="0"/>
        <w:autoSpaceDN w:val="0"/>
        <w:adjustRightInd w:val="0"/>
        <w:jc w:val="both"/>
        <w:rPr>
          <w:rFonts w:ascii="Arial" w:hAnsi="Arial"/>
          <w:color w:val="1C1C1C"/>
          <w:sz w:val="26"/>
          <w:szCs w:val="26"/>
        </w:rPr>
      </w:pPr>
    </w:p>
    <w:p w:rsidR="00F35523" w:rsidRPr="004511DA" w:rsidRDefault="00F35523">
      <w:pPr>
        <w:widowControl w:val="0"/>
        <w:autoSpaceDE w:val="0"/>
        <w:autoSpaceDN w:val="0"/>
        <w:adjustRightInd w:val="0"/>
        <w:jc w:val="both"/>
        <w:rPr>
          <w:rFonts w:ascii="Arial" w:hAnsi="Arial"/>
          <w:color w:val="1C1C1C"/>
          <w:sz w:val="26"/>
          <w:szCs w:val="26"/>
        </w:rPr>
      </w:pPr>
      <w:r w:rsidRPr="004511DA">
        <w:rPr>
          <w:rFonts w:ascii="Arial" w:hAnsi="Arial"/>
          <w:color w:val="1C1C1C"/>
          <w:sz w:val="26"/>
          <w:szCs w:val="26"/>
        </w:rPr>
        <w:t xml:space="preserve">Les fichiers (.html, .doc, .pdf., .rtf, .jpg, .gif) disponibles sur le site Les Classiques des sciences sociales sont la propriété des </w:t>
      </w:r>
      <w:r w:rsidRPr="004511DA">
        <w:rPr>
          <w:rFonts w:ascii="Arial" w:hAnsi="Arial"/>
          <w:b/>
          <w:color w:val="1C1C1C"/>
          <w:sz w:val="26"/>
          <w:szCs w:val="26"/>
        </w:rPr>
        <w:t>Class</w:t>
      </w:r>
      <w:r w:rsidRPr="004511DA">
        <w:rPr>
          <w:rFonts w:ascii="Arial" w:hAnsi="Arial"/>
          <w:b/>
          <w:color w:val="1C1C1C"/>
          <w:sz w:val="26"/>
          <w:szCs w:val="26"/>
        </w:rPr>
        <w:t>i</w:t>
      </w:r>
      <w:r w:rsidRPr="004511DA">
        <w:rPr>
          <w:rFonts w:ascii="Arial" w:hAnsi="Arial"/>
          <w:b/>
          <w:color w:val="1C1C1C"/>
          <w:sz w:val="26"/>
          <w:szCs w:val="26"/>
        </w:rPr>
        <w:t>ques des sciences sociales</w:t>
      </w:r>
      <w:r w:rsidRPr="004511DA">
        <w:rPr>
          <w:rFonts w:ascii="Arial" w:hAnsi="Arial"/>
          <w:color w:val="1C1C1C"/>
          <w:sz w:val="26"/>
          <w:szCs w:val="26"/>
        </w:rPr>
        <w:t>, un organisme à but non lucratif co</w:t>
      </w:r>
      <w:r w:rsidRPr="004511DA">
        <w:rPr>
          <w:rFonts w:ascii="Arial" w:hAnsi="Arial"/>
          <w:color w:val="1C1C1C"/>
          <w:sz w:val="26"/>
          <w:szCs w:val="26"/>
        </w:rPr>
        <w:t>m</w:t>
      </w:r>
      <w:r w:rsidRPr="004511DA">
        <w:rPr>
          <w:rFonts w:ascii="Arial" w:hAnsi="Arial"/>
          <w:color w:val="1C1C1C"/>
          <w:sz w:val="26"/>
          <w:szCs w:val="26"/>
        </w:rPr>
        <w:t>posé exclusivement de bénévoles.</w:t>
      </w:r>
    </w:p>
    <w:p w:rsidR="00F35523" w:rsidRPr="004511DA" w:rsidRDefault="00F35523">
      <w:pPr>
        <w:widowControl w:val="0"/>
        <w:autoSpaceDE w:val="0"/>
        <w:autoSpaceDN w:val="0"/>
        <w:adjustRightInd w:val="0"/>
        <w:jc w:val="both"/>
        <w:rPr>
          <w:rFonts w:ascii="Arial" w:hAnsi="Arial"/>
          <w:color w:val="1C1C1C"/>
          <w:sz w:val="26"/>
          <w:szCs w:val="26"/>
        </w:rPr>
      </w:pPr>
    </w:p>
    <w:p w:rsidR="00F35523" w:rsidRPr="004511DA" w:rsidRDefault="00F35523">
      <w:pPr>
        <w:rPr>
          <w:rFonts w:ascii="Arial" w:hAnsi="Arial"/>
          <w:color w:val="1C1C1C"/>
          <w:sz w:val="26"/>
          <w:szCs w:val="26"/>
        </w:rPr>
      </w:pPr>
      <w:r w:rsidRPr="004511DA">
        <w:rPr>
          <w:rFonts w:ascii="Arial" w:hAnsi="Arial"/>
          <w:color w:val="1C1C1C"/>
          <w:sz w:val="26"/>
          <w:szCs w:val="26"/>
        </w:rPr>
        <w:t>Ils sont disponibles pour une utilisation intellectuelle et perso</w:t>
      </w:r>
      <w:r w:rsidRPr="004511DA">
        <w:rPr>
          <w:rFonts w:ascii="Arial" w:hAnsi="Arial"/>
          <w:color w:val="1C1C1C"/>
          <w:sz w:val="26"/>
          <w:szCs w:val="26"/>
        </w:rPr>
        <w:t>n</w:t>
      </w:r>
      <w:r w:rsidRPr="004511DA">
        <w:rPr>
          <w:rFonts w:ascii="Arial" w:hAnsi="Arial"/>
          <w:color w:val="1C1C1C"/>
          <w:sz w:val="26"/>
          <w:szCs w:val="26"/>
        </w:rPr>
        <w:t>ne</w:t>
      </w:r>
      <w:r w:rsidRPr="004511DA">
        <w:rPr>
          <w:rFonts w:ascii="Arial" w:hAnsi="Arial"/>
          <w:color w:val="1C1C1C"/>
          <w:sz w:val="26"/>
          <w:szCs w:val="26"/>
        </w:rPr>
        <w:t>l</w:t>
      </w:r>
      <w:r w:rsidRPr="004511DA">
        <w:rPr>
          <w:rFonts w:ascii="Arial" w:hAnsi="Arial"/>
          <w:color w:val="1C1C1C"/>
          <w:sz w:val="26"/>
          <w:szCs w:val="26"/>
        </w:rPr>
        <w:t>le et, en aucun cas, commerciale. Toute utilisation à des fins co</w:t>
      </w:r>
      <w:r w:rsidRPr="004511DA">
        <w:rPr>
          <w:rFonts w:ascii="Arial" w:hAnsi="Arial"/>
          <w:color w:val="1C1C1C"/>
          <w:sz w:val="26"/>
          <w:szCs w:val="26"/>
        </w:rPr>
        <w:t>m</w:t>
      </w:r>
      <w:r w:rsidRPr="004511DA">
        <w:rPr>
          <w:rFonts w:ascii="Arial" w:hAnsi="Arial"/>
          <w:color w:val="1C1C1C"/>
          <w:sz w:val="26"/>
          <w:szCs w:val="26"/>
        </w:rPr>
        <w:t>merciales des fichiers sur ce site est strictement interdite et toute rediffusion est également strictement interdite.</w:t>
      </w:r>
    </w:p>
    <w:p w:rsidR="00F35523" w:rsidRPr="004511DA" w:rsidRDefault="00F35523">
      <w:pPr>
        <w:rPr>
          <w:rFonts w:ascii="Arial" w:hAnsi="Arial"/>
          <w:b/>
          <w:color w:val="1C1C1C"/>
          <w:sz w:val="26"/>
          <w:szCs w:val="26"/>
        </w:rPr>
      </w:pPr>
    </w:p>
    <w:p w:rsidR="00F35523" w:rsidRPr="004511DA" w:rsidRDefault="00F35523">
      <w:pPr>
        <w:rPr>
          <w:rFonts w:ascii="Arial" w:hAnsi="Arial"/>
          <w:b/>
          <w:color w:val="1C1C1C"/>
          <w:sz w:val="26"/>
          <w:szCs w:val="26"/>
        </w:rPr>
      </w:pPr>
      <w:r w:rsidRPr="004511DA">
        <w:rPr>
          <w:rFonts w:ascii="Arial" w:hAnsi="Arial"/>
          <w:b/>
          <w:color w:val="1C1C1C"/>
          <w:sz w:val="26"/>
          <w:szCs w:val="26"/>
        </w:rPr>
        <w:t>L'accès à notre travail est libre et gratuit à tous les utilis</w:t>
      </w:r>
      <w:r w:rsidRPr="004511DA">
        <w:rPr>
          <w:rFonts w:ascii="Arial" w:hAnsi="Arial"/>
          <w:b/>
          <w:color w:val="1C1C1C"/>
          <w:sz w:val="26"/>
          <w:szCs w:val="26"/>
        </w:rPr>
        <w:t>a</w:t>
      </w:r>
      <w:r w:rsidRPr="004511DA">
        <w:rPr>
          <w:rFonts w:ascii="Arial" w:hAnsi="Arial"/>
          <w:b/>
          <w:color w:val="1C1C1C"/>
          <w:sz w:val="26"/>
          <w:szCs w:val="26"/>
        </w:rPr>
        <w:t>teurs. C'est notre mission.</w:t>
      </w:r>
    </w:p>
    <w:p w:rsidR="00F35523" w:rsidRPr="004511DA" w:rsidRDefault="00F35523">
      <w:pPr>
        <w:rPr>
          <w:rFonts w:ascii="Arial" w:hAnsi="Arial"/>
          <w:b/>
          <w:color w:val="1C1C1C"/>
          <w:sz w:val="26"/>
          <w:szCs w:val="26"/>
        </w:rPr>
      </w:pPr>
    </w:p>
    <w:p w:rsidR="00F35523" w:rsidRPr="004511DA" w:rsidRDefault="00F35523">
      <w:pPr>
        <w:rPr>
          <w:rFonts w:ascii="Arial" w:hAnsi="Arial"/>
          <w:color w:val="1C1C1C"/>
          <w:sz w:val="26"/>
          <w:szCs w:val="26"/>
        </w:rPr>
      </w:pPr>
      <w:r w:rsidRPr="004511DA">
        <w:rPr>
          <w:rFonts w:ascii="Arial" w:hAnsi="Arial"/>
          <w:color w:val="1C1C1C"/>
          <w:sz w:val="26"/>
          <w:szCs w:val="26"/>
        </w:rPr>
        <w:t>Jean-Marie Tremblay, sociologue</w:t>
      </w:r>
    </w:p>
    <w:p w:rsidR="00F35523" w:rsidRPr="004511DA" w:rsidRDefault="00F35523">
      <w:pPr>
        <w:rPr>
          <w:rFonts w:ascii="Arial" w:hAnsi="Arial"/>
          <w:color w:val="1C1C1C"/>
          <w:sz w:val="26"/>
          <w:szCs w:val="26"/>
        </w:rPr>
      </w:pPr>
      <w:r w:rsidRPr="004511DA">
        <w:rPr>
          <w:rFonts w:ascii="Arial" w:hAnsi="Arial"/>
          <w:color w:val="1C1C1C"/>
          <w:sz w:val="26"/>
          <w:szCs w:val="26"/>
        </w:rPr>
        <w:t>Fondateur et Président-directeur général,</w:t>
      </w:r>
    </w:p>
    <w:p w:rsidR="00F35523" w:rsidRPr="004511DA" w:rsidRDefault="00F35523">
      <w:pPr>
        <w:rPr>
          <w:rFonts w:ascii="Arial" w:hAnsi="Arial"/>
          <w:color w:val="000080"/>
        </w:rPr>
      </w:pPr>
      <w:r w:rsidRPr="004511DA">
        <w:rPr>
          <w:rFonts w:ascii="Arial" w:hAnsi="Arial"/>
          <w:color w:val="000080"/>
          <w:sz w:val="26"/>
          <w:szCs w:val="26"/>
        </w:rPr>
        <w:t>LES CLASSIQUES DES SCIENCES SOCIALES.</w:t>
      </w:r>
    </w:p>
    <w:p w:rsidR="00F35523" w:rsidRPr="004511DA" w:rsidRDefault="00F35523" w:rsidP="00F35523">
      <w:pPr>
        <w:ind w:firstLine="0"/>
        <w:jc w:val="both"/>
        <w:rPr>
          <w:sz w:val="24"/>
          <w:lang w:bidi="ar-SA"/>
        </w:rPr>
      </w:pPr>
      <w:r w:rsidRPr="004511DA">
        <w:br w:type="page"/>
      </w:r>
      <w:r w:rsidRPr="004511DA">
        <w:rPr>
          <w:sz w:val="24"/>
          <w:lang w:bidi="ar-SA"/>
        </w:rPr>
        <w:lastRenderedPageBreak/>
        <w:t>Un document produit en version numérique par Jean-Marie Tremblay, bénévole, professeur associé, Université du Québec à Chicoutimi</w:t>
      </w:r>
    </w:p>
    <w:p w:rsidR="00F35523" w:rsidRPr="004511DA" w:rsidRDefault="00F35523" w:rsidP="00F35523">
      <w:pPr>
        <w:ind w:firstLine="0"/>
        <w:jc w:val="both"/>
        <w:rPr>
          <w:sz w:val="24"/>
          <w:lang w:bidi="ar-SA"/>
        </w:rPr>
      </w:pPr>
      <w:r w:rsidRPr="004511DA">
        <w:rPr>
          <w:sz w:val="24"/>
          <w:lang w:bidi="ar-SA"/>
        </w:rPr>
        <w:t xml:space="preserve">Courriel: </w:t>
      </w:r>
      <w:hyperlink r:id="rId12" w:history="1">
        <w:r w:rsidRPr="004511DA">
          <w:rPr>
            <w:rStyle w:val="Lienhypertexte"/>
            <w:sz w:val="24"/>
            <w:lang w:bidi="ar-SA"/>
          </w:rPr>
          <w:t>classiques.sc.soc@gmail.com</w:t>
        </w:r>
      </w:hyperlink>
      <w:r w:rsidRPr="004511DA">
        <w:rPr>
          <w:sz w:val="24"/>
          <w:lang w:bidi="ar-SA"/>
        </w:rPr>
        <w:t xml:space="preserve">  </w:t>
      </w:r>
    </w:p>
    <w:p w:rsidR="00F35523" w:rsidRPr="004511DA" w:rsidRDefault="00F35523" w:rsidP="00F35523">
      <w:pPr>
        <w:ind w:left="20" w:hanging="20"/>
        <w:jc w:val="both"/>
        <w:rPr>
          <w:sz w:val="24"/>
        </w:rPr>
      </w:pPr>
      <w:r w:rsidRPr="004511DA">
        <w:rPr>
          <w:sz w:val="24"/>
          <w:lang w:bidi="ar-SA"/>
        </w:rPr>
        <w:t xml:space="preserve">Site web pédagogique : </w:t>
      </w:r>
      <w:hyperlink r:id="rId13" w:history="1">
        <w:r w:rsidRPr="004511DA">
          <w:rPr>
            <w:rStyle w:val="Lienhypertexte"/>
            <w:sz w:val="24"/>
            <w:lang w:bidi="ar-SA"/>
          </w:rPr>
          <w:t>http://jmt-sociologue.uqac.ca/</w:t>
        </w:r>
      </w:hyperlink>
    </w:p>
    <w:p w:rsidR="00F35523" w:rsidRPr="004511DA" w:rsidRDefault="00F35523" w:rsidP="00F35523">
      <w:pPr>
        <w:ind w:left="20" w:hanging="20"/>
        <w:jc w:val="both"/>
        <w:rPr>
          <w:sz w:val="24"/>
        </w:rPr>
      </w:pPr>
      <w:r w:rsidRPr="004511DA">
        <w:rPr>
          <w:sz w:val="24"/>
        </w:rPr>
        <w:t>à partir du texte de :</w:t>
      </w:r>
    </w:p>
    <w:p w:rsidR="00F35523" w:rsidRPr="004511DA" w:rsidRDefault="00F35523" w:rsidP="00F35523">
      <w:pPr>
        <w:ind w:left="20"/>
        <w:jc w:val="both"/>
        <w:rPr>
          <w:sz w:val="24"/>
        </w:rPr>
      </w:pPr>
    </w:p>
    <w:p w:rsidR="00F35523" w:rsidRPr="004511DA" w:rsidRDefault="00F35523" w:rsidP="00F35523">
      <w:pPr>
        <w:ind w:firstLine="0"/>
        <w:jc w:val="both"/>
        <w:rPr>
          <w:sz w:val="24"/>
        </w:rPr>
      </w:pPr>
      <w:r w:rsidRPr="004511DA">
        <w:t>Gérard Boismenu</w:t>
      </w:r>
      <w:r>
        <w:t xml:space="preserve"> et Alain Noël</w:t>
      </w:r>
    </w:p>
    <w:p w:rsidR="00F35523" w:rsidRPr="004511DA" w:rsidRDefault="00F35523" w:rsidP="00F35523">
      <w:pPr>
        <w:ind w:left="20"/>
        <w:jc w:val="both"/>
        <w:rPr>
          <w:sz w:val="24"/>
        </w:rPr>
      </w:pPr>
    </w:p>
    <w:p w:rsidR="00F35523" w:rsidRPr="004511DA" w:rsidRDefault="00F35523" w:rsidP="00F35523">
      <w:pPr>
        <w:ind w:firstLine="0"/>
        <w:jc w:val="both"/>
      </w:pPr>
      <w:r w:rsidRPr="0002157B">
        <w:t>“</w:t>
      </w:r>
      <w:r w:rsidRPr="0002157B">
        <w:rPr>
          <w:b/>
          <w:i/>
          <w:color w:val="0000FF"/>
        </w:rPr>
        <w:t>La restructuration de la protection sociale en Amérique du Nord et en Europe</w:t>
      </w:r>
      <w:r w:rsidRPr="0002157B">
        <w:t>.”</w:t>
      </w:r>
    </w:p>
    <w:p w:rsidR="00F35523" w:rsidRPr="004511DA" w:rsidRDefault="00F35523" w:rsidP="00F35523">
      <w:pPr>
        <w:ind w:left="20" w:hanging="20"/>
        <w:jc w:val="both"/>
      </w:pPr>
    </w:p>
    <w:p w:rsidR="00F35523" w:rsidRDefault="00F35523" w:rsidP="00F35523">
      <w:pPr>
        <w:spacing w:before="120" w:after="120"/>
        <w:jc w:val="both"/>
      </w:pPr>
      <w:r>
        <w:t>Un article publié dans la</w:t>
      </w:r>
      <w:r w:rsidRPr="00026D95">
        <w:t xml:space="preserve"> revue </w:t>
      </w:r>
      <w:r w:rsidRPr="0002157B">
        <w:rPr>
          <w:b/>
          <w:i/>
          <w:color w:val="FF0000"/>
        </w:rPr>
        <w:t>Cahiers de recherche sociolog</w:t>
      </w:r>
      <w:r w:rsidRPr="0002157B">
        <w:rPr>
          <w:b/>
          <w:i/>
          <w:color w:val="FF0000"/>
        </w:rPr>
        <w:t>i</w:t>
      </w:r>
      <w:r w:rsidRPr="0002157B">
        <w:rPr>
          <w:b/>
          <w:i/>
          <w:color w:val="FF0000"/>
        </w:rPr>
        <w:t>que</w:t>
      </w:r>
      <w:r w:rsidRPr="00026D95">
        <w:t>, no</w:t>
      </w:r>
      <w:r>
        <w:t> </w:t>
      </w:r>
      <w:r w:rsidRPr="00026D95">
        <w:t>24, 1995, pages 49 à 85. Montréal, Département de sociol</w:t>
      </w:r>
      <w:r w:rsidRPr="00026D95">
        <w:t>o</w:t>
      </w:r>
      <w:r w:rsidRPr="00026D95">
        <w:t>gie, UQAM.</w:t>
      </w:r>
    </w:p>
    <w:p w:rsidR="00F35523" w:rsidRPr="004511DA" w:rsidRDefault="00F35523" w:rsidP="00F35523">
      <w:pPr>
        <w:ind w:left="20" w:hanging="20"/>
        <w:jc w:val="both"/>
      </w:pPr>
    </w:p>
    <w:p w:rsidR="00F35523" w:rsidRPr="004511DA" w:rsidRDefault="00F35523">
      <w:pPr>
        <w:jc w:val="both"/>
        <w:rPr>
          <w:sz w:val="24"/>
        </w:rPr>
      </w:pPr>
    </w:p>
    <w:p w:rsidR="00F35523" w:rsidRDefault="0044725F" w:rsidP="00F35523">
      <w:pPr>
        <w:ind w:firstLine="0"/>
        <w:rPr>
          <w:sz w:val="24"/>
        </w:rPr>
      </w:pPr>
      <w:r w:rsidRPr="004511DA">
        <w:rPr>
          <w:noProof/>
          <w:sz w:val="24"/>
        </w:rPr>
        <w:drawing>
          <wp:inline distT="0" distB="0" distL="0" distR="0">
            <wp:extent cx="254000" cy="25400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F35523" w:rsidRPr="004511DA">
        <w:rPr>
          <w:sz w:val="24"/>
        </w:rPr>
        <w:t xml:space="preserve"> Courriels : Gérard Boismenu : </w:t>
      </w:r>
      <w:hyperlink r:id="rId15" w:history="1">
        <w:r w:rsidR="00F35523" w:rsidRPr="004511DA">
          <w:rPr>
            <w:rStyle w:val="Lienhypertexte"/>
            <w:sz w:val="24"/>
          </w:rPr>
          <w:t>gerard.boismenu@umontreal.ca</w:t>
        </w:r>
      </w:hyperlink>
    </w:p>
    <w:p w:rsidR="00F35523" w:rsidRDefault="00F35523" w:rsidP="00F35523">
      <w:pPr>
        <w:ind w:firstLine="0"/>
        <w:rPr>
          <w:sz w:val="24"/>
        </w:rPr>
      </w:pPr>
      <w:r>
        <w:rPr>
          <w:sz w:val="24"/>
        </w:rPr>
        <w:t xml:space="preserve">Alain Noël : </w:t>
      </w:r>
      <w:hyperlink r:id="rId16" w:history="1">
        <w:r w:rsidRPr="0015746B">
          <w:rPr>
            <w:rStyle w:val="Lienhypertexte"/>
            <w:sz w:val="24"/>
          </w:rPr>
          <w:t>alain.noel@umontreal.ca</w:t>
        </w:r>
      </w:hyperlink>
    </w:p>
    <w:p w:rsidR="00F35523" w:rsidRPr="004511DA" w:rsidRDefault="00F35523" w:rsidP="00F35523">
      <w:pPr>
        <w:ind w:firstLine="0"/>
        <w:rPr>
          <w:sz w:val="24"/>
        </w:rPr>
      </w:pPr>
    </w:p>
    <w:p w:rsidR="00F35523" w:rsidRPr="004511DA" w:rsidRDefault="00F35523" w:rsidP="00F35523">
      <w:pPr>
        <w:ind w:right="1800" w:firstLine="0"/>
        <w:jc w:val="both"/>
        <w:rPr>
          <w:sz w:val="24"/>
        </w:rPr>
      </w:pPr>
    </w:p>
    <w:p w:rsidR="00F35523" w:rsidRPr="004511DA" w:rsidRDefault="00F35523">
      <w:pPr>
        <w:ind w:right="1800" w:firstLine="0"/>
        <w:jc w:val="both"/>
        <w:rPr>
          <w:sz w:val="24"/>
        </w:rPr>
      </w:pPr>
      <w:r w:rsidRPr="004511DA">
        <w:rPr>
          <w:sz w:val="24"/>
        </w:rPr>
        <w:t>Police de caractères utilisés :</w:t>
      </w:r>
    </w:p>
    <w:p w:rsidR="00F35523" w:rsidRPr="004511DA" w:rsidRDefault="00F35523">
      <w:pPr>
        <w:ind w:right="1800" w:firstLine="0"/>
        <w:jc w:val="both"/>
        <w:rPr>
          <w:sz w:val="24"/>
        </w:rPr>
      </w:pPr>
    </w:p>
    <w:p w:rsidR="00F35523" w:rsidRPr="004511DA" w:rsidRDefault="00F35523" w:rsidP="00F35523">
      <w:pPr>
        <w:ind w:left="360" w:right="360" w:firstLine="0"/>
        <w:jc w:val="both"/>
        <w:rPr>
          <w:sz w:val="24"/>
        </w:rPr>
      </w:pPr>
      <w:r w:rsidRPr="004511DA">
        <w:rPr>
          <w:sz w:val="24"/>
        </w:rPr>
        <w:t>Pour le texte: Times New Roman, 14 points.</w:t>
      </w:r>
    </w:p>
    <w:p w:rsidR="00F35523" w:rsidRPr="004511DA" w:rsidRDefault="00F35523" w:rsidP="00F35523">
      <w:pPr>
        <w:ind w:left="360" w:right="360" w:firstLine="0"/>
        <w:jc w:val="both"/>
        <w:rPr>
          <w:sz w:val="24"/>
        </w:rPr>
      </w:pPr>
      <w:r w:rsidRPr="004511DA">
        <w:rPr>
          <w:sz w:val="24"/>
        </w:rPr>
        <w:t>Pour les citations: Times New Roman, 12 points.</w:t>
      </w:r>
    </w:p>
    <w:p w:rsidR="00F35523" w:rsidRPr="004511DA" w:rsidRDefault="00F35523" w:rsidP="00F35523">
      <w:pPr>
        <w:ind w:left="360" w:right="360" w:firstLine="0"/>
        <w:jc w:val="both"/>
        <w:rPr>
          <w:sz w:val="24"/>
        </w:rPr>
      </w:pPr>
      <w:r w:rsidRPr="004511DA">
        <w:rPr>
          <w:sz w:val="24"/>
        </w:rPr>
        <w:t>Pour les notes de bas de page: Times New Roman, 12 points.</w:t>
      </w:r>
    </w:p>
    <w:p w:rsidR="00F35523" w:rsidRPr="004511DA" w:rsidRDefault="00F35523">
      <w:pPr>
        <w:ind w:left="360" w:right="1800" w:firstLine="0"/>
        <w:jc w:val="both"/>
        <w:rPr>
          <w:sz w:val="24"/>
        </w:rPr>
      </w:pPr>
    </w:p>
    <w:p w:rsidR="00F35523" w:rsidRPr="004511DA" w:rsidRDefault="00F35523">
      <w:pPr>
        <w:ind w:right="360" w:firstLine="0"/>
        <w:jc w:val="both"/>
        <w:rPr>
          <w:sz w:val="24"/>
        </w:rPr>
      </w:pPr>
      <w:r w:rsidRPr="004511DA">
        <w:rPr>
          <w:sz w:val="24"/>
        </w:rPr>
        <w:t>Édition électronique réalisée avec le traitement de textes Micr</w:t>
      </w:r>
      <w:r w:rsidRPr="004511DA">
        <w:rPr>
          <w:sz w:val="24"/>
        </w:rPr>
        <w:t>o</w:t>
      </w:r>
      <w:r w:rsidRPr="004511DA">
        <w:rPr>
          <w:sz w:val="24"/>
        </w:rPr>
        <w:t>soft Word 2008 pour Macintosh.</w:t>
      </w:r>
    </w:p>
    <w:p w:rsidR="00F35523" w:rsidRPr="004511DA" w:rsidRDefault="00F35523" w:rsidP="00F35523">
      <w:pPr>
        <w:ind w:right="630" w:firstLine="0"/>
        <w:jc w:val="both"/>
        <w:rPr>
          <w:sz w:val="24"/>
        </w:rPr>
      </w:pPr>
      <w:r w:rsidRPr="004511DA">
        <w:rPr>
          <w:sz w:val="24"/>
        </w:rPr>
        <w:t>Mise en page sur papier format : LETTRE US, 8.5’’ x 11’’.</w:t>
      </w:r>
    </w:p>
    <w:p w:rsidR="00F35523" w:rsidRPr="004511DA" w:rsidRDefault="00F35523">
      <w:pPr>
        <w:ind w:right="1800" w:firstLine="0"/>
        <w:jc w:val="both"/>
        <w:rPr>
          <w:sz w:val="24"/>
        </w:rPr>
      </w:pPr>
    </w:p>
    <w:p w:rsidR="00F35523" w:rsidRPr="004511DA" w:rsidRDefault="00F35523" w:rsidP="00F35523">
      <w:pPr>
        <w:ind w:firstLine="0"/>
        <w:jc w:val="both"/>
        <w:rPr>
          <w:sz w:val="24"/>
        </w:rPr>
      </w:pPr>
      <w:r w:rsidRPr="004511DA">
        <w:rPr>
          <w:sz w:val="24"/>
        </w:rPr>
        <w:t xml:space="preserve">Édition numérique réalisée le </w:t>
      </w:r>
      <w:r>
        <w:rPr>
          <w:sz w:val="24"/>
        </w:rPr>
        <w:t>8 octobre</w:t>
      </w:r>
      <w:r w:rsidRPr="004511DA">
        <w:rPr>
          <w:sz w:val="24"/>
        </w:rPr>
        <w:t xml:space="preserve"> 2020 à Chicoutimi, Québec.</w:t>
      </w:r>
    </w:p>
    <w:p w:rsidR="00F35523" w:rsidRPr="004511DA" w:rsidRDefault="00F35523">
      <w:pPr>
        <w:ind w:right="1800" w:firstLine="0"/>
        <w:jc w:val="both"/>
        <w:rPr>
          <w:sz w:val="22"/>
        </w:rPr>
      </w:pPr>
    </w:p>
    <w:p w:rsidR="00F35523" w:rsidRPr="004511DA" w:rsidRDefault="0044725F">
      <w:pPr>
        <w:ind w:right="1800" w:firstLine="0"/>
        <w:jc w:val="both"/>
      </w:pPr>
      <w:r w:rsidRPr="004511DA">
        <w:rPr>
          <w:noProof/>
        </w:rPr>
        <w:drawing>
          <wp:inline distT="0" distB="0" distL="0" distR="0">
            <wp:extent cx="111760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F35523" w:rsidRPr="004511DA" w:rsidRDefault="00F35523">
      <w:pPr>
        <w:ind w:left="20"/>
        <w:jc w:val="both"/>
      </w:pPr>
      <w:r w:rsidRPr="004511DA">
        <w:br w:type="page"/>
      </w:r>
    </w:p>
    <w:p w:rsidR="00F35523" w:rsidRPr="004511DA" w:rsidRDefault="00F35523" w:rsidP="00F35523">
      <w:pPr>
        <w:ind w:firstLine="0"/>
        <w:jc w:val="center"/>
        <w:rPr>
          <w:b/>
          <w:sz w:val="36"/>
          <w:lang w:bidi="ar-SA"/>
        </w:rPr>
      </w:pPr>
      <w:r w:rsidRPr="004511DA">
        <w:rPr>
          <w:sz w:val="36"/>
          <w:lang w:bidi="ar-SA"/>
        </w:rPr>
        <w:t>Gérard Boismenu</w:t>
      </w:r>
      <w:r>
        <w:rPr>
          <w:sz w:val="36"/>
          <w:lang w:bidi="ar-SA"/>
        </w:rPr>
        <w:t xml:space="preserve"> et Alain Noël</w:t>
      </w:r>
    </w:p>
    <w:p w:rsidR="00F35523" w:rsidRPr="004511DA" w:rsidRDefault="00F35523" w:rsidP="00F35523">
      <w:pPr>
        <w:ind w:firstLine="0"/>
        <w:jc w:val="center"/>
        <w:rPr>
          <w:sz w:val="20"/>
          <w:lang w:bidi="ar-SA"/>
        </w:rPr>
      </w:pPr>
      <w:r w:rsidRPr="004511DA">
        <w:rPr>
          <w:sz w:val="20"/>
          <w:lang w:bidi="ar-SA"/>
        </w:rPr>
        <w:t>Professeur</w:t>
      </w:r>
      <w:r>
        <w:rPr>
          <w:sz w:val="20"/>
          <w:lang w:bidi="ar-SA"/>
        </w:rPr>
        <w:t>s</w:t>
      </w:r>
      <w:r w:rsidRPr="004511DA">
        <w:rPr>
          <w:sz w:val="20"/>
          <w:lang w:bidi="ar-SA"/>
        </w:rPr>
        <w:t>, département de science politique, Université de Montréal</w:t>
      </w:r>
    </w:p>
    <w:p w:rsidR="00F35523" w:rsidRPr="004511DA" w:rsidRDefault="00F35523" w:rsidP="00F35523">
      <w:pPr>
        <w:ind w:firstLine="0"/>
        <w:jc w:val="center"/>
      </w:pPr>
    </w:p>
    <w:p w:rsidR="00F35523" w:rsidRDefault="00F35523" w:rsidP="00F35523">
      <w:pPr>
        <w:ind w:firstLine="0"/>
        <w:jc w:val="center"/>
        <w:rPr>
          <w:color w:val="000080"/>
          <w:sz w:val="36"/>
        </w:rPr>
      </w:pPr>
      <w:r w:rsidRPr="0002157B">
        <w:rPr>
          <w:color w:val="000080"/>
          <w:sz w:val="36"/>
        </w:rPr>
        <w:t>“La restructu</w:t>
      </w:r>
      <w:r>
        <w:rPr>
          <w:color w:val="000080"/>
          <w:sz w:val="36"/>
        </w:rPr>
        <w:t>ration de la protection sociale</w:t>
      </w:r>
      <w:r>
        <w:rPr>
          <w:color w:val="000080"/>
          <w:sz w:val="36"/>
        </w:rPr>
        <w:br/>
      </w:r>
      <w:r w:rsidRPr="0002157B">
        <w:rPr>
          <w:color w:val="000080"/>
          <w:sz w:val="36"/>
        </w:rPr>
        <w:t>en Amér</w:t>
      </w:r>
      <w:r w:rsidRPr="0002157B">
        <w:rPr>
          <w:color w:val="000080"/>
          <w:sz w:val="36"/>
        </w:rPr>
        <w:t>i</w:t>
      </w:r>
      <w:r w:rsidRPr="0002157B">
        <w:rPr>
          <w:color w:val="000080"/>
          <w:sz w:val="36"/>
        </w:rPr>
        <w:t>que du Nord et en Europe.”</w:t>
      </w:r>
    </w:p>
    <w:p w:rsidR="00F35523" w:rsidRPr="004511DA" w:rsidRDefault="00F35523" w:rsidP="00F35523">
      <w:pPr>
        <w:ind w:firstLine="0"/>
        <w:jc w:val="center"/>
      </w:pPr>
    </w:p>
    <w:p w:rsidR="00F35523" w:rsidRPr="004511DA" w:rsidRDefault="0044725F" w:rsidP="00F35523">
      <w:pPr>
        <w:ind w:firstLine="0"/>
        <w:jc w:val="center"/>
      </w:pPr>
      <w:r>
        <w:rPr>
          <w:noProof/>
        </w:rPr>
        <w:drawing>
          <wp:inline distT="0" distB="0" distL="0" distR="0">
            <wp:extent cx="3251200" cy="4965700"/>
            <wp:effectExtent l="25400" t="25400" r="12700" b="12700"/>
            <wp:docPr id="5" name="Image 5" descr="CRS_24_L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RS_24_L25"/>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51200" cy="4965700"/>
                    </a:xfrm>
                    <a:prstGeom prst="rect">
                      <a:avLst/>
                    </a:prstGeom>
                    <a:noFill/>
                    <a:ln w="19050" cmpd="sng">
                      <a:solidFill>
                        <a:srgbClr val="000000"/>
                      </a:solidFill>
                      <a:miter lim="800000"/>
                      <a:headEnd/>
                      <a:tailEnd/>
                    </a:ln>
                    <a:effectLst/>
                  </pic:spPr>
                </pic:pic>
              </a:graphicData>
            </a:graphic>
          </wp:inline>
        </w:drawing>
      </w:r>
    </w:p>
    <w:p w:rsidR="00F35523" w:rsidRPr="004511DA" w:rsidRDefault="00F35523" w:rsidP="00F35523">
      <w:pPr>
        <w:ind w:firstLine="0"/>
        <w:jc w:val="center"/>
      </w:pPr>
    </w:p>
    <w:p w:rsidR="00F35523" w:rsidRPr="004511DA" w:rsidRDefault="00F35523" w:rsidP="00F35523">
      <w:pPr>
        <w:jc w:val="both"/>
      </w:pPr>
      <w:r>
        <w:t>Un article publié dans la</w:t>
      </w:r>
      <w:r w:rsidRPr="00026D95">
        <w:t xml:space="preserve"> revue </w:t>
      </w:r>
      <w:r w:rsidRPr="0002157B">
        <w:rPr>
          <w:b/>
          <w:i/>
          <w:color w:val="FF0000"/>
        </w:rPr>
        <w:t>Cahiers de recherche sociolog</w:t>
      </w:r>
      <w:r w:rsidRPr="0002157B">
        <w:rPr>
          <w:b/>
          <w:i/>
          <w:color w:val="FF0000"/>
        </w:rPr>
        <w:t>i</w:t>
      </w:r>
      <w:r w:rsidRPr="0002157B">
        <w:rPr>
          <w:b/>
          <w:i/>
          <w:color w:val="FF0000"/>
        </w:rPr>
        <w:t>que</w:t>
      </w:r>
      <w:r w:rsidRPr="00026D95">
        <w:t>, no</w:t>
      </w:r>
      <w:r>
        <w:t> </w:t>
      </w:r>
      <w:r w:rsidRPr="00026D95">
        <w:t>24, 1995, pages 49 à 85. Montréal, Département de sociol</w:t>
      </w:r>
      <w:r w:rsidRPr="00026D95">
        <w:t>o</w:t>
      </w:r>
      <w:r w:rsidRPr="00026D95">
        <w:t>gie, UQAM.</w:t>
      </w:r>
    </w:p>
    <w:p w:rsidR="00F35523" w:rsidRPr="00E07116" w:rsidRDefault="00F35523" w:rsidP="00F35523">
      <w:pPr>
        <w:jc w:val="both"/>
      </w:pPr>
      <w:r>
        <w:br w:type="page"/>
      </w:r>
    </w:p>
    <w:p w:rsidR="00F35523" w:rsidRPr="00E07116" w:rsidRDefault="00F35523" w:rsidP="00F35523">
      <w:pPr>
        <w:jc w:val="both"/>
      </w:pPr>
    </w:p>
    <w:p w:rsidR="00F35523" w:rsidRPr="00384B20" w:rsidRDefault="00F35523" w:rsidP="00F35523">
      <w:pPr>
        <w:pStyle w:val="planchest"/>
      </w:pPr>
      <w:bookmarkStart w:id="1" w:name="tdm"/>
      <w:r w:rsidRPr="00384B20">
        <w:t>Table des matières</w:t>
      </w:r>
      <w:bookmarkEnd w:id="1"/>
    </w:p>
    <w:p w:rsidR="00F35523" w:rsidRPr="00E07116" w:rsidRDefault="00F35523" w:rsidP="00F35523">
      <w:pPr>
        <w:ind w:firstLine="0"/>
      </w:pPr>
    </w:p>
    <w:p w:rsidR="00F35523" w:rsidRPr="00E07116" w:rsidRDefault="00F35523" w:rsidP="00F35523">
      <w:pPr>
        <w:ind w:firstLine="0"/>
      </w:pPr>
    </w:p>
    <w:p w:rsidR="00F35523" w:rsidRPr="007F7861" w:rsidRDefault="00F35523" w:rsidP="00F35523">
      <w:pPr>
        <w:spacing w:before="60" w:after="60"/>
        <w:ind w:firstLine="0"/>
        <w:jc w:val="both"/>
        <w:rPr>
          <w:sz w:val="24"/>
        </w:rPr>
      </w:pPr>
      <w:hyperlink w:anchor="Restructuration_intro" w:history="1">
        <w:r w:rsidRPr="00924C73">
          <w:rPr>
            <w:rStyle w:val="Lienhypertexte"/>
            <w:sz w:val="24"/>
          </w:rPr>
          <w:t>Introduction</w:t>
        </w:r>
      </w:hyperlink>
      <w:r w:rsidRPr="007F7861">
        <w:rPr>
          <w:sz w:val="24"/>
        </w:rPr>
        <w:t xml:space="preserve"> [49]</w:t>
      </w:r>
    </w:p>
    <w:p w:rsidR="00F35523" w:rsidRPr="007F7861" w:rsidRDefault="00F35523" w:rsidP="00F35523">
      <w:pPr>
        <w:spacing w:before="60" w:after="60"/>
        <w:ind w:firstLine="0"/>
        <w:jc w:val="both"/>
        <w:rPr>
          <w:sz w:val="24"/>
        </w:rPr>
      </w:pPr>
    </w:p>
    <w:p w:rsidR="00F35523" w:rsidRPr="007F7861" w:rsidRDefault="00F35523" w:rsidP="00F35523">
      <w:pPr>
        <w:spacing w:before="60" w:after="120"/>
        <w:ind w:firstLine="0"/>
        <w:jc w:val="both"/>
        <w:rPr>
          <w:sz w:val="24"/>
        </w:rPr>
      </w:pPr>
      <w:hyperlink w:anchor="Restructuration_1" w:history="1">
        <w:r w:rsidRPr="00924C73">
          <w:rPr>
            <w:rStyle w:val="Lienhypertexte"/>
            <w:sz w:val="24"/>
          </w:rPr>
          <w:t>Butoirs, balises et types d'État-providence</w:t>
        </w:r>
      </w:hyperlink>
      <w:r w:rsidRPr="007F7861">
        <w:rPr>
          <w:sz w:val="24"/>
        </w:rPr>
        <w:t xml:space="preserve"> [51]</w:t>
      </w:r>
    </w:p>
    <w:p w:rsidR="00F35523" w:rsidRPr="007F7861" w:rsidRDefault="00F35523" w:rsidP="00F35523">
      <w:pPr>
        <w:spacing w:before="60" w:after="60"/>
        <w:ind w:left="720" w:hanging="360"/>
        <w:jc w:val="both"/>
        <w:rPr>
          <w:sz w:val="24"/>
        </w:rPr>
      </w:pPr>
      <w:r w:rsidRPr="007F7861">
        <w:rPr>
          <w:i/>
          <w:sz w:val="24"/>
        </w:rPr>
        <w:t>Le chômage massif : nouvelle donnée</w:t>
      </w:r>
      <w:r w:rsidRPr="007F7861">
        <w:rPr>
          <w:sz w:val="24"/>
        </w:rPr>
        <w:t xml:space="preserve"> [51]</w:t>
      </w:r>
    </w:p>
    <w:p w:rsidR="00F35523" w:rsidRPr="007F7861" w:rsidRDefault="00F35523" w:rsidP="00F35523">
      <w:pPr>
        <w:spacing w:before="60" w:after="60"/>
        <w:ind w:left="720" w:hanging="360"/>
        <w:jc w:val="both"/>
        <w:rPr>
          <w:sz w:val="24"/>
        </w:rPr>
      </w:pPr>
      <w:r w:rsidRPr="007F7861">
        <w:rPr>
          <w:i/>
          <w:sz w:val="24"/>
        </w:rPr>
        <w:t>La flexibilité contre la protection sociale</w:t>
      </w:r>
      <w:r w:rsidRPr="007F7861">
        <w:rPr>
          <w:sz w:val="24"/>
        </w:rPr>
        <w:t xml:space="preserve"> [53]</w:t>
      </w:r>
    </w:p>
    <w:p w:rsidR="00F35523" w:rsidRPr="007F7861" w:rsidRDefault="00F35523" w:rsidP="00F35523">
      <w:pPr>
        <w:spacing w:before="60" w:after="60"/>
        <w:ind w:left="720" w:hanging="360"/>
        <w:rPr>
          <w:sz w:val="24"/>
        </w:rPr>
      </w:pPr>
      <w:r w:rsidRPr="007F7861">
        <w:rPr>
          <w:i/>
          <w:sz w:val="24"/>
        </w:rPr>
        <w:t>Compétitivité et mondialisation : un nivellement par le bas ?</w:t>
      </w:r>
      <w:r w:rsidRPr="007F7861">
        <w:rPr>
          <w:sz w:val="24"/>
        </w:rPr>
        <w:t xml:space="preserve"> [54]</w:t>
      </w:r>
    </w:p>
    <w:p w:rsidR="00F35523" w:rsidRPr="007F7861" w:rsidRDefault="00F35523" w:rsidP="00F35523">
      <w:pPr>
        <w:spacing w:before="60" w:after="60"/>
        <w:ind w:left="720" w:hanging="360"/>
        <w:jc w:val="both"/>
        <w:rPr>
          <w:sz w:val="24"/>
        </w:rPr>
      </w:pPr>
      <w:r w:rsidRPr="007F7861">
        <w:rPr>
          <w:i/>
          <w:sz w:val="24"/>
        </w:rPr>
        <w:t>Les types d’État-Providence : des configurations différenciées</w:t>
      </w:r>
      <w:r w:rsidRPr="007F7861">
        <w:rPr>
          <w:sz w:val="24"/>
        </w:rPr>
        <w:t xml:space="preserve"> [56]</w:t>
      </w:r>
    </w:p>
    <w:p w:rsidR="00F35523" w:rsidRPr="007F7861" w:rsidRDefault="00F35523" w:rsidP="00F35523">
      <w:pPr>
        <w:spacing w:before="60" w:after="60"/>
        <w:ind w:firstLine="0"/>
        <w:jc w:val="both"/>
        <w:rPr>
          <w:sz w:val="24"/>
        </w:rPr>
      </w:pPr>
    </w:p>
    <w:p w:rsidR="00F35523" w:rsidRPr="007F7861" w:rsidRDefault="00F35523" w:rsidP="00F35523">
      <w:pPr>
        <w:spacing w:before="60" w:after="120"/>
        <w:ind w:firstLine="0"/>
        <w:jc w:val="both"/>
        <w:rPr>
          <w:sz w:val="24"/>
        </w:rPr>
      </w:pPr>
      <w:hyperlink w:anchor="Restructuration_2" w:history="1">
        <w:r w:rsidRPr="00924C73">
          <w:rPr>
            <w:rStyle w:val="Lienhypertexte"/>
            <w:sz w:val="24"/>
          </w:rPr>
          <w:t>Le modèle nord-américain ou anglo-saxon</w:t>
        </w:r>
      </w:hyperlink>
      <w:r w:rsidRPr="007F7861">
        <w:rPr>
          <w:sz w:val="24"/>
        </w:rPr>
        <w:t xml:space="preserve"> [59]</w:t>
      </w:r>
    </w:p>
    <w:p w:rsidR="00F35523" w:rsidRPr="007F7861" w:rsidRDefault="00F35523" w:rsidP="00F35523">
      <w:pPr>
        <w:spacing w:before="60" w:after="60"/>
        <w:ind w:left="720" w:hanging="360"/>
        <w:jc w:val="both"/>
        <w:rPr>
          <w:sz w:val="24"/>
        </w:rPr>
      </w:pPr>
      <w:r w:rsidRPr="007F7861">
        <w:rPr>
          <w:i/>
          <w:sz w:val="24"/>
        </w:rPr>
        <w:t>Les similitudes entre le Canada et les États-Unis</w:t>
      </w:r>
      <w:r w:rsidRPr="007F7861">
        <w:rPr>
          <w:sz w:val="24"/>
        </w:rPr>
        <w:t xml:space="preserve"> [59]</w:t>
      </w:r>
    </w:p>
    <w:p w:rsidR="00F35523" w:rsidRPr="007F7861" w:rsidRDefault="00F35523" w:rsidP="00F35523">
      <w:pPr>
        <w:spacing w:before="60" w:after="60"/>
        <w:ind w:left="720" w:hanging="360"/>
        <w:jc w:val="both"/>
        <w:rPr>
          <w:sz w:val="24"/>
        </w:rPr>
      </w:pPr>
      <w:r w:rsidRPr="007F7861">
        <w:rPr>
          <w:i/>
          <w:sz w:val="24"/>
        </w:rPr>
        <w:t>Harmonisation et continentalisation</w:t>
      </w:r>
      <w:r w:rsidRPr="007F7861">
        <w:rPr>
          <w:sz w:val="24"/>
        </w:rPr>
        <w:t xml:space="preserve"> [64]</w:t>
      </w:r>
    </w:p>
    <w:p w:rsidR="00F35523" w:rsidRPr="007F7861" w:rsidRDefault="00F35523" w:rsidP="00F35523">
      <w:pPr>
        <w:spacing w:before="60" w:after="60"/>
        <w:ind w:left="720" w:hanging="360"/>
        <w:jc w:val="both"/>
        <w:rPr>
          <w:sz w:val="24"/>
        </w:rPr>
      </w:pPr>
      <w:r w:rsidRPr="007F7861">
        <w:rPr>
          <w:i/>
          <w:sz w:val="24"/>
        </w:rPr>
        <w:t>La Grande-Bretagne : la filière anglo-saxonne</w:t>
      </w:r>
      <w:r w:rsidRPr="007F7861">
        <w:rPr>
          <w:sz w:val="24"/>
        </w:rPr>
        <w:t xml:space="preserve"> [65]</w:t>
      </w:r>
    </w:p>
    <w:p w:rsidR="00F35523" w:rsidRPr="007F7861" w:rsidRDefault="00F35523" w:rsidP="00F35523">
      <w:pPr>
        <w:spacing w:before="60" w:after="60"/>
        <w:ind w:left="720" w:hanging="360"/>
        <w:jc w:val="both"/>
        <w:rPr>
          <w:sz w:val="24"/>
        </w:rPr>
      </w:pPr>
      <w:r w:rsidRPr="007F7861">
        <w:rPr>
          <w:i/>
          <w:sz w:val="24"/>
        </w:rPr>
        <w:t>Une stratégie défensive de transformation du rapport salarial</w:t>
      </w:r>
      <w:r w:rsidRPr="007F7861">
        <w:rPr>
          <w:sz w:val="24"/>
        </w:rPr>
        <w:t xml:space="preserve"> [67]</w:t>
      </w:r>
    </w:p>
    <w:p w:rsidR="00F35523" w:rsidRPr="007F7861" w:rsidRDefault="00F35523" w:rsidP="00F35523">
      <w:pPr>
        <w:spacing w:before="60" w:after="60"/>
        <w:ind w:firstLine="0"/>
        <w:jc w:val="both"/>
        <w:rPr>
          <w:sz w:val="24"/>
        </w:rPr>
      </w:pPr>
    </w:p>
    <w:p w:rsidR="00F35523" w:rsidRPr="007F7861" w:rsidRDefault="00F35523" w:rsidP="00F35523">
      <w:pPr>
        <w:spacing w:before="60" w:after="120"/>
        <w:ind w:firstLine="0"/>
        <w:jc w:val="both"/>
        <w:rPr>
          <w:sz w:val="24"/>
        </w:rPr>
      </w:pPr>
      <w:hyperlink w:anchor="Restructuration_3" w:history="1">
        <w:r w:rsidRPr="00924C73">
          <w:rPr>
            <w:rStyle w:val="Lienhypertexte"/>
            <w:sz w:val="24"/>
          </w:rPr>
          <w:t>Intégration ou fractionne</w:t>
        </w:r>
        <w:r w:rsidRPr="00924C73">
          <w:rPr>
            <w:rStyle w:val="Lienhypertexte"/>
            <w:sz w:val="24"/>
          </w:rPr>
          <w:t>m</w:t>
        </w:r>
        <w:r w:rsidRPr="00924C73">
          <w:rPr>
            <w:rStyle w:val="Lienhypertexte"/>
            <w:sz w:val="24"/>
          </w:rPr>
          <w:t>ent en Europe</w:t>
        </w:r>
      </w:hyperlink>
      <w:r w:rsidRPr="007F7861">
        <w:rPr>
          <w:sz w:val="24"/>
        </w:rPr>
        <w:t xml:space="preserve"> [69]</w:t>
      </w:r>
    </w:p>
    <w:p w:rsidR="00F35523" w:rsidRPr="007F7861" w:rsidRDefault="00F35523" w:rsidP="00F35523">
      <w:pPr>
        <w:spacing w:before="60" w:after="60"/>
        <w:ind w:left="720" w:hanging="360"/>
        <w:jc w:val="both"/>
        <w:rPr>
          <w:sz w:val="24"/>
        </w:rPr>
      </w:pPr>
      <w:r w:rsidRPr="007F7861">
        <w:rPr>
          <w:i/>
          <w:sz w:val="24"/>
        </w:rPr>
        <w:t>L'intégration de la protection sociale est-elle à l'ordre du jour ?</w:t>
      </w:r>
      <w:r w:rsidRPr="007F7861">
        <w:rPr>
          <w:sz w:val="24"/>
        </w:rPr>
        <w:t xml:space="preserve"> [70]</w:t>
      </w:r>
    </w:p>
    <w:p w:rsidR="00F35523" w:rsidRPr="007F7861" w:rsidRDefault="00F35523" w:rsidP="00F35523">
      <w:pPr>
        <w:spacing w:before="60" w:after="60"/>
        <w:ind w:left="720" w:hanging="360"/>
        <w:jc w:val="both"/>
        <w:rPr>
          <w:sz w:val="24"/>
        </w:rPr>
      </w:pPr>
      <w:r w:rsidRPr="007F7861">
        <w:rPr>
          <w:i/>
          <w:sz w:val="24"/>
        </w:rPr>
        <w:t>L'intégration des relations industrielles : une impasse institutio</w:t>
      </w:r>
      <w:r w:rsidRPr="007F7861">
        <w:rPr>
          <w:i/>
          <w:sz w:val="24"/>
        </w:rPr>
        <w:t>n</w:t>
      </w:r>
      <w:r w:rsidRPr="007F7861">
        <w:rPr>
          <w:i/>
          <w:sz w:val="24"/>
        </w:rPr>
        <w:t>nelle</w:t>
      </w:r>
      <w:r w:rsidRPr="007F7861">
        <w:rPr>
          <w:sz w:val="24"/>
        </w:rPr>
        <w:t xml:space="preserve"> [71]</w:t>
      </w:r>
    </w:p>
    <w:p w:rsidR="00F35523" w:rsidRPr="007F7861" w:rsidRDefault="00F35523" w:rsidP="00F35523">
      <w:pPr>
        <w:spacing w:before="60" w:after="60"/>
        <w:ind w:left="720" w:hanging="360"/>
        <w:jc w:val="both"/>
        <w:rPr>
          <w:sz w:val="24"/>
        </w:rPr>
      </w:pPr>
      <w:r w:rsidRPr="007F7861">
        <w:rPr>
          <w:i/>
          <w:sz w:val="24"/>
        </w:rPr>
        <w:t>L'intégration de la protection sociale : un processus social et politique ince</w:t>
      </w:r>
      <w:r w:rsidRPr="007F7861">
        <w:rPr>
          <w:i/>
          <w:sz w:val="24"/>
        </w:rPr>
        <w:t>r</w:t>
      </w:r>
      <w:r w:rsidRPr="007F7861">
        <w:rPr>
          <w:i/>
          <w:sz w:val="24"/>
        </w:rPr>
        <w:t>tain</w:t>
      </w:r>
      <w:r w:rsidRPr="007F7861">
        <w:rPr>
          <w:sz w:val="24"/>
        </w:rPr>
        <w:t xml:space="preserve"> [73]</w:t>
      </w:r>
    </w:p>
    <w:p w:rsidR="00F35523" w:rsidRPr="007F7861" w:rsidRDefault="00F35523" w:rsidP="00F35523">
      <w:pPr>
        <w:spacing w:before="60" w:after="60"/>
        <w:ind w:firstLine="0"/>
        <w:jc w:val="both"/>
        <w:rPr>
          <w:sz w:val="24"/>
        </w:rPr>
      </w:pPr>
    </w:p>
    <w:p w:rsidR="00F35523" w:rsidRDefault="00F35523" w:rsidP="00F35523">
      <w:pPr>
        <w:spacing w:before="60" w:after="120"/>
        <w:ind w:firstLine="0"/>
        <w:jc w:val="both"/>
        <w:rPr>
          <w:sz w:val="24"/>
        </w:rPr>
      </w:pPr>
      <w:hyperlink w:anchor="Restructuration_4" w:history="1">
        <w:r w:rsidRPr="00FE77E1">
          <w:rPr>
            <w:rStyle w:val="Lienhypertexte"/>
            <w:sz w:val="24"/>
          </w:rPr>
          <w:t xml:space="preserve">Les types d’État-Providence et le </w:t>
        </w:r>
        <w:r w:rsidRPr="00FE77E1">
          <w:rPr>
            <w:rStyle w:val="Lienhypertexte"/>
            <w:i/>
            <w:sz w:val="24"/>
          </w:rPr>
          <w:t>workfare</w:t>
        </w:r>
      </w:hyperlink>
      <w:r w:rsidRPr="007F7861">
        <w:rPr>
          <w:sz w:val="24"/>
        </w:rPr>
        <w:t xml:space="preserve"> [74]</w:t>
      </w:r>
    </w:p>
    <w:p w:rsidR="00F35523" w:rsidRPr="007F7861" w:rsidRDefault="00F35523" w:rsidP="00F35523">
      <w:pPr>
        <w:spacing w:before="60" w:after="60"/>
        <w:ind w:left="720" w:hanging="360"/>
        <w:jc w:val="both"/>
        <w:rPr>
          <w:sz w:val="24"/>
        </w:rPr>
      </w:pPr>
      <w:r w:rsidRPr="007F7861">
        <w:rPr>
          <w:i/>
          <w:sz w:val="24"/>
        </w:rPr>
        <w:t>Les logiques d'intervention</w:t>
      </w:r>
      <w:r w:rsidRPr="007F7861">
        <w:rPr>
          <w:sz w:val="24"/>
        </w:rPr>
        <w:t xml:space="preserve"> [76]</w:t>
      </w:r>
    </w:p>
    <w:p w:rsidR="00F35523" w:rsidRPr="007F7861" w:rsidRDefault="00F35523" w:rsidP="00F35523">
      <w:pPr>
        <w:spacing w:before="60" w:after="60"/>
        <w:ind w:left="720" w:hanging="360"/>
        <w:jc w:val="both"/>
        <w:rPr>
          <w:sz w:val="24"/>
        </w:rPr>
      </w:pPr>
      <w:r w:rsidRPr="007F7861">
        <w:rPr>
          <w:i/>
          <w:sz w:val="24"/>
        </w:rPr>
        <w:t>Une caractérisation différenciée du workfare : le triangle des arb</w:t>
      </w:r>
      <w:r w:rsidRPr="007F7861">
        <w:rPr>
          <w:i/>
          <w:sz w:val="24"/>
        </w:rPr>
        <w:t>i</w:t>
      </w:r>
      <w:r w:rsidRPr="007F7861">
        <w:rPr>
          <w:i/>
          <w:sz w:val="24"/>
        </w:rPr>
        <w:t>trages</w:t>
      </w:r>
      <w:r w:rsidRPr="007F7861">
        <w:rPr>
          <w:sz w:val="24"/>
        </w:rPr>
        <w:t xml:space="preserve"> [77]</w:t>
      </w:r>
    </w:p>
    <w:p w:rsidR="00F35523" w:rsidRPr="007F7861" w:rsidRDefault="00F35523" w:rsidP="00F35523">
      <w:pPr>
        <w:spacing w:before="60" w:after="60"/>
        <w:ind w:firstLine="0"/>
        <w:jc w:val="both"/>
        <w:rPr>
          <w:sz w:val="24"/>
        </w:rPr>
      </w:pPr>
    </w:p>
    <w:p w:rsidR="00F35523" w:rsidRPr="007F7861" w:rsidRDefault="00F35523" w:rsidP="00F35523">
      <w:pPr>
        <w:spacing w:before="60" w:after="60"/>
        <w:ind w:firstLine="0"/>
        <w:jc w:val="both"/>
        <w:rPr>
          <w:sz w:val="24"/>
        </w:rPr>
      </w:pPr>
      <w:hyperlink w:anchor="Restructuration_conclusion" w:history="1">
        <w:r w:rsidRPr="00924C73">
          <w:rPr>
            <w:rStyle w:val="Lienhypertexte"/>
            <w:sz w:val="24"/>
          </w:rPr>
          <w:t>Conclusion</w:t>
        </w:r>
      </w:hyperlink>
      <w:r w:rsidRPr="007F7861">
        <w:rPr>
          <w:sz w:val="24"/>
        </w:rPr>
        <w:t xml:space="preserve"> [81]</w:t>
      </w:r>
    </w:p>
    <w:p w:rsidR="00F35523" w:rsidRPr="007F7861" w:rsidRDefault="00F35523" w:rsidP="00F35523">
      <w:pPr>
        <w:spacing w:before="60" w:after="60"/>
        <w:ind w:firstLine="0"/>
        <w:jc w:val="both"/>
        <w:rPr>
          <w:sz w:val="24"/>
        </w:rPr>
      </w:pPr>
      <w:hyperlink w:anchor="Restructuration_resume" w:history="1">
        <w:r w:rsidRPr="00924C73">
          <w:rPr>
            <w:rStyle w:val="Lienhypertexte"/>
            <w:sz w:val="24"/>
          </w:rPr>
          <w:t>Résumé</w:t>
        </w:r>
      </w:hyperlink>
      <w:r w:rsidRPr="007F7861">
        <w:rPr>
          <w:sz w:val="24"/>
        </w:rPr>
        <w:t xml:space="preserve"> [84]</w:t>
      </w:r>
    </w:p>
    <w:p w:rsidR="00F35523" w:rsidRPr="00E07116" w:rsidRDefault="00F35523" w:rsidP="00F35523">
      <w:pPr>
        <w:jc w:val="both"/>
      </w:pPr>
      <w:r w:rsidRPr="00E07116">
        <w:br w:type="page"/>
      </w:r>
    </w:p>
    <w:p w:rsidR="00F35523" w:rsidRPr="00E07116" w:rsidRDefault="00F35523" w:rsidP="00F35523">
      <w:pPr>
        <w:jc w:val="both"/>
      </w:pPr>
    </w:p>
    <w:p w:rsidR="00F35523" w:rsidRPr="00E07116" w:rsidRDefault="00F35523" w:rsidP="00F35523">
      <w:pPr>
        <w:jc w:val="both"/>
      </w:pPr>
    </w:p>
    <w:p w:rsidR="00F35523" w:rsidRPr="00E07116" w:rsidRDefault="00F35523" w:rsidP="00F35523">
      <w:pPr>
        <w:pStyle w:val="NormalWeb"/>
        <w:spacing w:before="2" w:after="2"/>
        <w:jc w:val="both"/>
        <w:rPr>
          <w:sz w:val="28"/>
        </w:rPr>
      </w:pPr>
      <w:r w:rsidRPr="00E07116">
        <w:rPr>
          <w:b/>
          <w:sz w:val="28"/>
          <w:szCs w:val="19"/>
        </w:rPr>
        <w:t>Note pour la version numérique</w:t>
      </w:r>
      <w:r w:rsidRPr="00E07116">
        <w:rPr>
          <w:sz w:val="28"/>
          <w:szCs w:val="19"/>
        </w:rPr>
        <w:t xml:space="preserve"> : </w:t>
      </w:r>
      <w:r w:rsidRPr="00E07116">
        <w:rPr>
          <w:sz w:val="28"/>
        </w:rPr>
        <w:t>La numérotation entre crochets [] correspond à la pagination, en début de page, de l'édition d'origine numérisée. JMT.</w:t>
      </w:r>
    </w:p>
    <w:p w:rsidR="00F35523" w:rsidRPr="00E07116" w:rsidRDefault="00F35523" w:rsidP="00F35523">
      <w:pPr>
        <w:pStyle w:val="NormalWeb"/>
        <w:spacing w:before="2" w:after="2"/>
        <w:jc w:val="both"/>
        <w:rPr>
          <w:sz w:val="28"/>
        </w:rPr>
      </w:pPr>
    </w:p>
    <w:p w:rsidR="00F35523" w:rsidRPr="00E07116" w:rsidRDefault="00F35523" w:rsidP="00F35523">
      <w:pPr>
        <w:pStyle w:val="NormalWeb"/>
        <w:spacing w:before="2" w:after="2"/>
        <w:rPr>
          <w:sz w:val="28"/>
        </w:rPr>
      </w:pPr>
      <w:r w:rsidRPr="00E07116">
        <w:rPr>
          <w:sz w:val="28"/>
        </w:rPr>
        <w:t>Par exemple, [1] correspond au début de la page 1 de l’édition papier numérisée.</w:t>
      </w:r>
    </w:p>
    <w:p w:rsidR="00F35523" w:rsidRPr="00E07116" w:rsidRDefault="00F35523" w:rsidP="00F35523">
      <w:pPr>
        <w:jc w:val="both"/>
        <w:rPr>
          <w:szCs w:val="19"/>
        </w:rPr>
      </w:pPr>
    </w:p>
    <w:p w:rsidR="00F35523" w:rsidRPr="00E07116" w:rsidRDefault="00F35523" w:rsidP="00F35523">
      <w:pPr>
        <w:jc w:val="both"/>
        <w:rPr>
          <w:szCs w:val="19"/>
        </w:rPr>
      </w:pPr>
    </w:p>
    <w:p w:rsidR="00F35523" w:rsidRPr="004511DA" w:rsidRDefault="00F35523" w:rsidP="00F35523">
      <w:pPr>
        <w:pStyle w:val="p"/>
      </w:pPr>
      <w:r w:rsidRPr="00E07116">
        <w:br w:type="page"/>
      </w:r>
      <w:r>
        <w:rPr>
          <w:rFonts w:eastAsia="Courier New"/>
          <w:lang w:bidi="fr-FR"/>
        </w:rPr>
        <w:lastRenderedPageBreak/>
        <w:t>[49</w:t>
      </w:r>
      <w:r w:rsidRPr="004511DA">
        <w:rPr>
          <w:rFonts w:eastAsia="Courier New"/>
          <w:lang w:bidi="fr-FR"/>
        </w:rPr>
        <w:t>]</w:t>
      </w:r>
    </w:p>
    <w:p w:rsidR="00F35523" w:rsidRPr="004511DA" w:rsidRDefault="00F35523" w:rsidP="00F35523">
      <w:pPr>
        <w:jc w:val="both"/>
      </w:pPr>
    </w:p>
    <w:p w:rsidR="00F35523" w:rsidRPr="004511DA" w:rsidRDefault="00F35523" w:rsidP="00F35523">
      <w:pPr>
        <w:jc w:val="both"/>
      </w:pPr>
    </w:p>
    <w:p w:rsidR="00F35523" w:rsidRPr="004511DA" w:rsidRDefault="00F35523" w:rsidP="00F35523">
      <w:pPr>
        <w:ind w:firstLine="0"/>
        <w:jc w:val="center"/>
        <w:rPr>
          <w:b/>
          <w:sz w:val="36"/>
          <w:lang w:bidi="ar-SA"/>
        </w:rPr>
      </w:pPr>
      <w:r w:rsidRPr="004511DA">
        <w:rPr>
          <w:sz w:val="36"/>
          <w:lang w:bidi="ar-SA"/>
        </w:rPr>
        <w:t>Gérard Boismenu</w:t>
      </w:r>
      <w:r>
        <w:rPr>
          <w:sz w:val="36"/>
          <w:lang w:bidi="ar-SA"/>
        </w:rPr>
        <w:t xml:space="preserve"> et Alain Noël</w:t>
      </w:r>
    </w:p>
    <w:p w:rsidR="00F35523" w:rsidRPr="004511DA" w:rsidRDefault="00F35523" w:rsidP="00F35523">
      <w:pPr>
        <w:ind w:firstLine="0"/>
        <w:jc w:val="center"/>
        <w:rPr>
          <w:sz w:val="20"/>
          <w:lang w:bidi="ar-SA"/>
        </w:rPr>
      </w:pPr>
      <w:r w:rsidRPr="004511DA">
        <w:rPr>
          <w:sz w:val="20"/>
          <w:lang w:bidi="ar-SA"/>
        </w:rPr>
        <w:t>Professeur</w:t>
      </w:r>
      <w:r>
        <w:rPr>
          <w:sz w:val="20"/>
          <w:lang w:bidi="ar-SA"/>
        </w:rPr>
        <w:t>s</w:t>
      </w:r>
      <w:r w:rsidRPr="004511DA">
        <w:rPr>
          <w:sz w:val="20"/>
          <w:lang w:bidi="ar-SA"/>
        </w:rPr>
        <w:t>, département de science politique, Université de Montréal</w:t>
      </w:r>
    </w:p>
    <w:p w:rsidR="00F35523" w:rsidRPr="004511DA" w:rsidRDefault="00F35523" w:rsidP="00F35523">
      <w:pPr>
        <w:ind w:firstLine="0"/>
        <w:jc w:val="center"/>
      </w:pPr>
    </w:p>
    <w:p w:rsidR="00F35523" w:rsidRDefault="00F35523" w:rsidP="00F35523">
      <w:pPr>
        <w:ind w:firstLine="0"/>
        <w:jc w:val="center"/>
        <w:rPr>
          <w:color w:val="000080"/>
          <w:sz w:val="36"/>
        </w:rPr>
      </w:pPr>
      <w:r w:rsidRPr="0002157B">
        <w:rPr>
          <w:color w:val="000080"/>
          <w:sz w:val="36"/>
        </w:rPr>
        <w:t>“La restructu</w:t>
      </w:r>
      <w:r>
        <w:rPr>
          <w:color w:val="000080"/>
          <w:sz w:val="36"/>
        </w:rPr>
        <w:t>ration de la protection sociale</w:t>
      </w:r>
      <w:r>
        <w:rPr>
          <w:color w:val="000080"/>
          <w:sz w:val="36"/>
        </w:rPr>
        <w:br/>
      </w:r>
      <w:r w:rsidRPr="0002157B">
        <w:rPr>
          <w:color w:val="000080"/>
          <w:sz w:val="36"/>
        </w:rPr>
        <w:t>en Amér</w:t>
      </w:r>
      <w:r w:rsidRPr="0002157B">
        <w:rPr>
          <w:color w:val="000080"/>
          <w:sz w:val="36"/>
        </w:rPr>
        <w:t>i</w:t>
      </w:r>
      <w:r w:rsidRPr="0002157B">
        <w:rPr>
          <w:color w:val="000080"/>
          <w:sz w:val="36"/>
        </w:rPr>
        <w:t>que du Nord et en Europe.”</w:t>
      </w:r>
      <w:r>
        <w:rPr>
          <w:color w:val="000080"/>
          <w:sz w:val="36"/>
        </w:rPr>
        <w:t> </w:t>
      </w:r>
      <w:r>
        <w:rPr>
          <w:rStyle w:val="Appelnotedebasdep"/>
        </w:rPr>
        <w:footnoteReference w:customMarkFollows="1" w:id="1"/>
        <w:t>*</w:t>
      </w:r>
    </w:p>
    <w:p w:rsidR="00F35523" w:rsidRPr="004511DA" w:rsidRDefault="00F35523" w:rsidP="00F35523">
      <w:pPr>
        <w:ind w:firstLine="0"/>
        <w:jc w:val="center"/>
      </w:pPr>
    </w:p>
    <w:p w:rsidR="00F35523" w:rsidRPr="004511DA" w:rsidRDefault="00F35523" w:rsidP="00F35523">
      <w:pPr>
        <w:jc w:val="both"/>
      </w:pPr>
      <w:r>
        <w:t>Un article publié dans la</w:t>
      </w:r>
      <w:r w:rsidRPr="00026D95">
        <w:t xml:space="preserve"> revue </w:t>
      </w:r>
      <w:r w:rsidRPr="0002157B">
        <w:rPr>
          <w:b/>
          <w:i/>
          <w:color w:val="FF0000"/>
        </w:rPr>
        <w:t>Cahiers de recherche sociolog</w:t>
      </w:r>
      <w:r w:rsidRPr="0002157B">
        <w:rPr>
          <w:b/>
          <w:i/>
          <w:color w:val="FF0000"/>
        </w:rPr>
        <w:t>i</w:t>
      </w:r>
      <w:r w:rsidRPr="0002157B">
        <w:rPr>
          <w:b/>
          <w:i/>
          <w:color w:val="FF0000"/>
        </w:rPr>
        <w:t>que</w:t>
      </w:r>
      <w:r w:rsidRPr="00026D95">
        <w:t>, no</w:t>
      </w:r>
      <w:r>
        <w:t> </w:t>
      </w:r>
      <w:r w:rsidRPr="00026D95">
        <w:t>24, 1995, pages 49 à 85. Montréal, Département de sociol</w:t>
      </w:r>
      <w:r w:rsidRPr="00026D95">
        <w:t>o</w:t>
      </w:r>
      <w:r w:rsidRPr="00026D95">
        <w:t>gie, UQAM.</w:t>
      </w:r>
    </w:p>
    <w:p w:rsidR="00F35523" w:rsidRPr="004511DA" w:rsidRDefault="00F35523" w:rsidP="00F35523">
      <w:pPr>
        <w:jc w:val="both"/>
      </w:pPr>
    </w:p>
    <w:p w:rsidR="00F35523" w:rsidRDefault="00F35523" w:rsidP="00F35523">
      <w:pPr>
        <w:spacing w:before="120" w:after="120"/>
        <w:jc w:val="both"/>
        <w:rPr>
          <w:lang w:bidi="fr-FR"/>
        </w:rPr>
      </w:pPr>
    </w:p>
    <w:p w:rsidR="00F35523" w:rsidRDefault="00F35523" w:rsidP="00F35523">
      <w:pPr>
        <w:pStyle w:val="aa"/>
      </w:pPr>
      <w:bookmarkStart w:id="2" w:name="Restructuration_intro"/>
      <w:r>
        <w:t>Introduction</w:t>
      </w:r>
    </w:p>
    <w:bookmarkEnd w:id="2"/>
    <w:p w:rsidR="00F35523" w:rsidRPr="00026D95" w:rsidRDefault="00F35523" w:rsidP="00F35523">
      <w:pPr>
        <w:spacing w:before="120" w:after="120"/>
        <w:jc w:val="both"/>
      </w:pPr>
    </w:p>
    <w:p w:rsidR="00F35523" w:rsidRPr="00384B20" w:rsidRDefault="00F35523" w:rsidP="00F35523">
      <w:pPr>
        <w:ind w:right="90" w:firstLine="0"/>
        <w:jc w:val="both"/>
        <w:rPr>
          <w:sz w:val="20"/>
        </w:rPr>
      </w:pPr>
      <w:hyperlink w:anchor="tdm" w:history="1">
        <w:r w:rsidRPr="00384B20">
          <w:rPr>
            <w:rStyle w:val="Lienhypertexte"/>
            <w:sz w:val="20"/>
          </w:rPr>
          <w:t>Retour à la table des matières</w:t>
        </w:r>
      </w:hyperlink>
    </w:p>
    <w:p w:rsidR="00F35523" w:rsidRPr="00026D95" w:rsidRDefault="00F35523" w:rsidP="00F35523">
      <w:pPr>
        <w:spacing w:before="120" w:after="120"/>
        <w:jc w:val="both"/>
      </w:pPr>
      <w:r w:rsidRPr="00026D95">
        <w:t>Les systèmes de protection sociale connaissent une restructuration majeure dans les pays fortement industrialisés depuis une quinzaine d'années. Cons</w:t>
      </w:r>
      <w:r w:rsidRPr="00026D95">
        <w:t>é</w:t>
      </w:r>
      <w:r w:rsidRPr="00026D95">
        <w:t>quemment à la crise structurelle qui a marqué ces pays, une série de nœuds se sont resserrés sur les systèmes mis en pl</w:t>
      </w:r>
      <w:r w:rsidRPr="00026D95">
        <w:t>a</w:t>
      </w:r>
      <w:r w:rsidRPr="00026D95">
        <w:t>ce particulièrement au cours des années soixante. On pense aux lim</w:t>
      </w:r>
      <w:r w:rsidRPr="00026D95">
        <w:t>i</w:t>
      </w:r>
      <w:r w:rsidRPr="00026D95">
        <w:t>tes internes, qui ont été progressivement atteintes et qui se prése</w:t>
      </w:r>
      <w:r w:rsidRPr="00026D95">
        <w:t>n</w:t>
      </w:r>
      <w:r w:rsidRPr="00026D95">
        <w:t>tent alternativement ou simultanément sous la forme d'une impasse fina</w:t>
      </w:r>
      <w:r w:rsidRPr="00026D95">
        <w:t>n</w:t>
      </w:r>
      <w:r w:rsidRPr="00026D95">
        <w:t>cière, d'un déficit de légitimité ou d'une inadaptation institutio</w:t>
      </w:r>
      <w:r w:rsidRPr="00026D95">
        <w:t>n</w:t>
      </w:r>
      <w:r w:rsidRPr="00026D95">
        <w:t>nelle.</w:t>
      </w:r>
    </w:p>
    <w:p w:rsidR="00F35523" w:rsidRPr="00026D95" w:rsidRDefault="00F35523" w:rsidP="00F35523">
      <w:pPr>
        <w:spacing w:before="120" w:after="120"/>
        <w:jc w:val="both"/>
      </w:pPr>
      <w:r w:rsidRPr="00026D95">
        <w:t xml:space="preserve">Ces limites n'apparaissent, ne prennent un sens et ne gagnent en acuité qu'en relation avec leur terrain nourricier qui se caractérise, dans la foulée d'une crise structurelle du modèle de développement, </w:t>
      </w:r>
      <w:r w:rsidRPr="00026D95">
        <w:lastRenderedPageBreak/>
        <w:t>par une mondialisation de l'économie et une reconfiguration contine</w:t>
      </w:r>
      <w:r w:rsidRPr="00026D95">
        <w:t>n</w:t>
      </w:r>
      <w:r w:rsidRPr="00026D95">
        <w:t>tale des institutions et des conventions, ainsi que par une massification de la population sans emploi et une plus grande fréquence de l'exp</w:t>
      </w:r>
      <w:r w:rsidRPr="00026D95">
        <w:t>é</w:t>
      </w:r>
      <w:r w:rsidRPr="00026D95">
        <w:t>rience du chômage dans l'itinéraire de vie active. L'interpénétration et l'interdépendance des économies et des sociétés se sont accentuées, notamment à la faveur des processus d'intégration continentale, et p</w:t>
      </w:r>
      <w:r w:rsidRPr="00026D95">
        <w:t>o</w:t>
      </w:r>
      <w:r w:rsidRPr="00026D95">
        <w:t>sent le thème de la compétitivité selon une perspective renouvelée au moment où se profilent de façon encore incertaine et désaccordée les éléments d'un nouveau modèle de développement.</w:t>
      </w:r>
    </w:p>
    <w:p w:rsidR="00F35523" w:rsidRDefault="00F35523" w:rsidP="00F35523">
      <w:pPr>
        <w:spacing w:before="120" w:after="120"/>
        <w:jc w:val="both"/>
      </w:pPr>
      <w:r w:rsidRPr="00026D95">
        <w:t>Au cours des années quatre-vingt, la rhétorique conservatrice qui s'est imp</w:t>
      </w:r>
      <w:r w:rsidRPr="00026D95">
        <w:t>o</w:t>
      </w:r>
      <w:r w:rsidRPr="00026D95">
        <w:t>sée aux États-Unis et en Grande-Bretagne, et dans une moindre mesure au C</w:t>
      </w:r>
      <w:r w:rsidRPr="00026D95">
        <w:t>a</w:t>
      </w:r>
      <w:r w:rsidRPr="00026D95">
        <w:t>nada, a alimenté les anticipations au sujet d'une [50] crise de l'État-providence. On voyait dans ces pays l'expression d'une orientation susceptible de s'imposer aux autres pays du Nord. Même si la notion de crise de l'État-providence se r</w:t>
      </w:r>
      <w:r w:rsidRPr="00026D95">
        <w:t>é</w:t>
      </w:r>
      <w:r w:rsidRPr="00026D95">
        <w:t>vèle peu féconde sur le plan de l'analyse, il reste que les restructurations de la protection sociale apparaissent significatives et mettent en relief des enjeux m</w:t>
      </w:r>
      <w:r w:rsidRPr="00026D95">
        <w:t>a</w:t>
      </w:r>
      <w:r w:rsidRPr="00026D95">
        <w:t>jeurs concernant les compromis sociaux et politiques qui étaient can</w:t>
      </w:r>
      <w:r w:rsidRPr="00026D95">
        <w:t>a</w:t>
      </w:r>
      <w:r w:rsidRPr="00026D95">
        <w:t>lisés par les formes institutionnelles existantes.</w:t>
      </w:r>
    </w:p>
    <w:p w:rsidR="00F35523" w:rsidRPr="00026D95" w:rsidRDefault="00F35523" w:rsidP="00F35523">
      <w:pPr>
        <w:spacing w:before="120" w:after="120"/>
        <w:jc w:val="both"/>
      </w:pPr>
      <w:r w:rsidRPr="00026D95">
        <w:t>Dans le contexte actuel de mondialisation et d'intensification de la contrainte de compétitivité, on peut plus que jamais se demander si les restructurations qui s'associent au cheminement nord-américain ou anglo-saxon sont à l'avant-garde du processus à l’œuvre dans l'ense</w:t>
      </w:r>
      <w:r w:rsidRPr="00026D95">
        <w:t>m</w:t>
      </w:r>
      <w:r w:rsidRPr="00026D95">
        <w:t>ble des pays européens. Plus précisément, il importe de voir si ce cheminement connaît une extension en Europe, partic</w:t>
      </w:r>
      <w:r w:rsidRPr="00026D95">
        <w:t>i</w:t>
      </w:r>
      <w:r w:rsidRPr="00026D95">
        <w:t>pant de ce fait à un phénomène de convergence des systèmes de protection s</w:t>
      </w:r>
      <w:r w:rsidRPr="00026D95">
        <w:t>o</w:t>
      </w:r>
      <w:r w:rsidRPr="00026D95">
        <w:t>ciale, convergence qui impliquerait un laminage radical et un changement fo</w:t>
      </w:r>
      <w:r w:rsidRPr="00026D95">
        <w:t>n</w:t>
      </w:r>
      <w:r w:rsidRPr="00026D95">
        <w:t>damental de la cohérence sous-jacente aux systèmes de protection sociale en Europe. À l'opposé, on pourrait imaginer que les restruct</w:t>
      </w:r>
      <w:r w:rsidRPr="00026D95">
        <w:t>u</w:t>
      </w:r>
      <w:r w:rsidRPr="00026D95">
        <w:t>rations en cours en Europe découlent certes d'une mutation majeure, mais suivant des trajectoires qui restent distinctes des manifestations en pays anglo-saxons.</w:t>
      </w:r>
    </w:p>
    <w:p w:rsidR="00F35523" w:rsidRDefault="00F35523" w:rsidP="00F35523">
      <w:pPr>
        <w:spacing w:before="120" w:after="120"/>
        <w:jc w:val="both"/>
      </w:pPr>
      <w:r w:rsidRPr="00026D95">
        <w:t>Sans être en mesure de trancher cette vaste question, il nous est possible d'en exposer les diverses dimensions et de proposer un tra</w:t>
      </w:r>
      <w:r w:rsidRPr="00026D95">
        <w:t>i</w:t>
      </w:r>
      <w:r w:rsidRPr="00026D95">
        <w:t>tement comparé des re</w:t>
      </w:r>
      <w:r w:rsidRPr="00026D95">
        <w:t>s</w:t>
      </w:r>
      <w:r w:rsidRPr="00026D95">
        <w:t>tructurations en cours sur les deux continents. Dans un premier temps donc, nous ferons un survol de certains fa</w:t>
      </w:r>
      <w:r w:rsidRPr="00026D95">
        <w:t>c</w:t>
      </w:r>
      <w:r w:rsidRPr="00026D95">
        <w:t>teurs qui pèsent sur l'avenir de la protection sociale et qui sont souvent posés d'abord comme des butoirs, puis comme des balises pour des modifications en profondeur ; la différenciation déjà acquise des États-providence dans les pays du Nord servira de point de référence pour l'étude des transformations en cours. Ensuite, nous relèverons les principaux constats qui découlent de l'étude de l'évolution de la pr</w:t>
      </w:r>
      <w:r w:rsidRPr="00026D95">
        <w:t>o</w:t>
      </w:r>
      <w:r w:rsidRPr="00026D95">
        <w:t>tection sociale en Am</w:t>
      </w:r>
      <w:r w:rsidRPr="00026D95">
        <w:t>é</w:t>
      </w:r>
      <w:r w:rsidRPr="00026D95">
        <w:t>rique du Nord, tout en situant les réformes conservatrices britanniques par rapport à ces constats. Dans un tro</w:t>
      </w:r>
      <w:r w:rsidRPr="00026D95">
        <w:t>i</w:t>
      </w:r>
      <w:r w:rsidRPr="00026D95">
        <w:t>sième temps, nous mettrons en lumière certa</w:t>
      </w:r>
      <w:r w:rsidRPr="00026D95">
        <w:t>i</w:t>
      </w:r>
      <w:r w:rsidRPr="00026D95">
        <w:t>nes grandes tendances qui parcourent l'Europe, depuis l'influence de la Charte sociale jusqu'à une européanisation de la protection sociale, en passant par le mai</w:t>
      </w:r>
      <w:r w:rsidRPr="00026D95">
        <w:t>n</w:t>
      </w:r>
      <w:r w:rsidRPr="00026D95">
        <w:t>tien d'une fragmentation nationale de la protection sociale. Puis, en nous appuyant sur la tendance qui consiste à assortir les mécanismes de sécurité du revenu à l'égard des sans-emploi d'une dimension conditionnelle se rapportant à une prestation de travail ou à un eng</w:t>
      </w:r>
      <w:r w:rsidRPr="00026D95">
        <w:t>a</w:t>
      </w:r>
      <w:r w:rsidRPr="00026D95">
        <w:t>gement dans un quelconque processus de réinsertion sociale ou pr</w:t>
      </w:r>
      <w:r w:rsidRPr="00026D95">
        <w:t>o</w:t>
      </w:r>
      <w:r w:rsidRPr="00026D95">
        <w:t>fessionnelle, nous montrerons que cette tendance ne prend son sens qu'en référence aux logiques qui caractérisent les différentes formes d’État-Providence. Nous conclurons enfin en retenant quelques gra</w:t>
      </w:r>
      <w:r w:rsidRPr="00026D95">
        <w:t>n</w:t>
      </w:r>
      <w:r w:rsidRPr="00026D95">
        <w:t>des [51] indications sur les voies suivies par les pays du Nord conce</w:t>
      </w:r>
      <w:r w:rsidRPr="00026D95">
        <w:t>r</w:t>
      </w:r>
      <w:r w:rsidRPr="00026D95">
        <w:t>nant la prote</w:t>
      </w:r>
      <w:r w:rsidRPr="00026D95">
        <w:t>c</w:t>
      </w:r>
      <w:r w:rsidRPr="00026D95">
        <w:t>tion sociale.</w:t>
      </w:r>
    </w:p>
    <w:p w:rsidR="00F35523" w:rsidRDefault="00F35523" w:rsidP="00F35523">
      <w:pPr>
        <w:spacing w:before="120" w:after="120"/>
        <w:jc w:val="both"/>
      </w:pPr>
    </w:p>
    <w:p w:rsidR="00F35523" w:rsidRDefault="00F35523" w:rsidP="00F35523">
      <w:pPr>
        <w:pStyle w:val="aa"/>
      </w:pPr>
      <w:bookmarkStart w:id="3" w:name="Restructuration_1"/>
      <w:r w:rsidRPr="00026D95">
        <w:t>Butoirs, balises et types d'État-providence</w:t>
      </w:r>
    </w:p>
    <w:bookmarkEnd w:id="3"/>
    <w:p w:rsidR="00F35523" w:rsidRDefault="00F35523" w:rsidP="00F35523">
      <w:pPr>
        <w:spacing w:before="120" w:after="120"/>
        <w:jc w:val="both"/>
      </w:pPr>
    </w:p>
    <w:p w:rsidR="00F35523" w:rsidRPr="00384B20" w:rsidRDefault="00F35523" w:rsidP="00F35523">
      <w:pPr>
        <w:ind w:right="90" w:firstLine="0"/>
        <w:jc w:val="both"/>
        <w:rPr>
          <w:sz w:val="20"/>
        </w:rPr>
      </w:pPr>
      <w:hyperlink w:anchor="tdm" w:history="1">
        <w:r w:rsidRPr="00384B20">
          <w:rPr>
            <w:rStyle w:val="Lienhypertexte"/>
            <w:sz w:val="20"/>
          </w:rPr>
          <w:t>Retour à la table des matières</w:t>
        </w:r>
      </w:hyperlink>
    </w:p>
    <w:p w:rsidR="00F35523" w:rsidRDefault="00F35523" w:rsidP="00F35523">
      <w:pPr>
        <w:spacing w:before="120" w:after="120"/>
        <w:jc w:val="both"/>
      </w:pPr>
      <w:r w:rsidRPr="00026D95">
        <w:t>Si plusieurs dimensions minent les systèmes de protection sociale au cours des années quatre-vingt, on se doit de retenir la massification des sans-emploi comme l'une des plus cruciales. Le chômage exerce une pression financière très forte sur des systèmes mis en place à une époque où le niveau de l'emploi était élevé ; cette pression relève tant des prestations pécuniaires à verser aux sans-emploi que d'une dim</w:t>
      </w:r>
      <w:r w:rsidRPr="00026D95">
        <w:t>i</w:t>
      </w:r>
      <w:r w:rsidRPr="00026D95">
        <w:t>nution des recettes fiscales et des contributions de tous ordres.</w:t>
      </w:r>
    </w:p>
    <w:p w:rsidR="00F35523" w:rsidRPr="00026D95" w:rsidRDefault="00F35523" w:rsidP="00F35523">
      <w:pPr>
        <w:spacing w:before="120" w:after="120"/>
        <w:jc w:val="both"/>
      </w:pPr>
      <w:r>
        <w:br w:type="page"/>
      </w:r>
    </w:p>
    <w:p w:rsidR="00F35523" w:rsidRPr="008A206B" w:rsidRDefault="00F35523" w:rsidP="00F35523">
      <w:pPr>
        <w:pStyle w:val="bb"/>
      </w:pPr>
      <w:r w:rsidRPr="008A206B">
        <w:t>Le chômage massif : nouvelle donnée</w:t>
      </w:r>
    </w:p>
    <w:p w:rsidR="00F35523" w:rsidRDefault="00F35523" w:rsidP="00F35523">
      <w:pPr>
        <w:spacing w:before="120" w:after="120"/>
        <w:jc w:val="both"/>
      </w:pPr>
    </w:p>
    <w:p w:rsidR="00F35523" w:rsidRDefault="00F35523" w:rsidP="00F35523">
      <w:pPr>
        <w:spacing w:before="120" w:after="120"/>
        <w:jc w:val="both"/>
      </w:pPr>
      <w:r w:rsidRPr="00026D95">
        <w:t>La forte augmentation du nombre de chômeurs s'accompagne d'une montée du chômage de longue durée.</w:t>
      </w:r>
      <w:r>
        <w:t> </w:t>
      </w:r>
      <w:r w:rsidRPr="00026D95">
        <w:rPr>
          <w:rStyle w:val="Appelnotedebasdep"/>
        </w:rPr>
        <w:footnoteReference w:id="2"/>
      </w:r>
      <w:r w:rsidRPr="00026D95">
        <w:t xml:space="preserve"> Se manifestant inégalement selon les pays, ce phénomène reste néanmoins généralisé. Le bassin des exclus du marché du tr</w:t>
      </w:r>
      <w:r w:rsidRPr="00026D95">
        <w:t>a</w:t>
      </w:r>
      <w:r w:rsidRPr="00026D95">
        <w:t>vail est en nette expansion et ne peut donc pas être le révélateur d'attributs ind</w:t>
      </w:r>
      <w:r w:rsidRPr="00026D95">
        <w:t>i</w:t>
      </w:r>
      <w:r w:rsidRPr="00026D95">
        <w:t>viduels. L'exclusion touche une population de travailleurs de plus en plus no</w:t>
      </w:r>
      <w:r w:rsidRPr="00026D95">
        <w:t>m</w:t>
      </w:r>
      <w:r w:rsidRPr="00026D95">
        <w:t>breuse et donne lieu à un discours nourri sur la perte d'éthique du travail et les attitudes r</w:t>
      </w:r>
      <w:r w:rsidRPr="00026D95">
        <w:t>é</w:t>
      </w:r>
      <w:r w:rsidRPr="00026D95">
        <w:t>fractaires au marché du travail.</w:t>
      </w:r>
    </w:p>
    <w:p w:rsidR="00F35523" w:rsidRDefault="00F35523" w:rsidP="00F35523">
      <w:pPr>
        <w:spacing w:before="120" w:after="120"/>
        <w:jc w:val="both"/>
      </w:pPr>
      <w:r w:rsidRPr="00026D95">
        <w:t>Le chômage de longue durée va souvent de pair avec le chômage répétitif, ce qui signifie que les mêmes personnes feront fréquemment l'expérience du ch</w:t>
      </w:r>
      <w:r w:rsidRPr="00026D95">
        <w:t>ô</w:t>
      </w:r>
      <w:r w:rsidRPr="00026D95">
        <w:t>mage. Certains pays se signalent sur ce plan ; au Canada, par exemple, sept pe</w:t>
      </w:r>
      <w:r w:rsidRPr="00026D95">
        <w:t>r</w:t>
      </w:r>
      <w:r w:rsidRPr="00026D95">
        <w:t>sonnes sur dix ayant été en chômage entre 1975 et 1982 ont vécu cette situation plus d'une fois et, pour la moitié de ces derniers, elle s'est répétée au moins quatre fois.</w:t>
      </w:r>
      <w:r>
        <w:t> </w:t>
      </w:r>
      <w:r w:rsidRPr="00026D95">
        <w:rPr>
          <w:rStyle w:val="Appelnotedebasdep"/>
        </w:rPr>
        <w:footnoteReference w:id="3"/>
      </w:r>
      <w:r w:rsidRPr="00026D95">
        <w:t xml:space="preserve"> Ce</w:t>
      </w:r>
      <w:r w:rsidRPr="00026D95">
        <w:t>r</w:t>
      </w:r>
      <w:r w:rsidRPr="00026D95">
        <w:t>tains voudront y voir non une caractéristique du marché du travail et de la structure des emplois, mais bien la preuve d'une instabilité ou d'une in</w:t>
      </w:r>
      <w:r w:rsidRPr="00026D95">
        <w:t>a</w:t>
      </w:r>
      <w:r w:rsidRPr="00026D95">
        <w:t>daptation de la main-d’œuvre par rapport aux besoins du marché. Une vision plus collective qu'individuelle interprète plutôt cette réalité comme une démon</w:t>
      </w:r>
      <w:r w:rsidRPr="00026D95">
        <w:t>s</w:t>
      </w:r>
      <w:r w:rsidRPr="00026D95">
        <w:t>tration de la vulnérabilité de certains groupes de travailleurs.</w:t>
      </w:r>
    </w:p>
    <w:p w:rsidR="00F35523" w:rsidRDefault="00F35523" w:rsidP="00F35523">
      <w:pPr>
        <w:spacing w:before="120" w:after="120"/>
        <w:jc w:val="both"/>
      </w:pPr>
      <w:r w:rsidRPr="00026D95">
        <w:t>Le chômage est aussi une cause majeure de la croissance de la pauvreté, même chez ceux qui travaillent, en ce qu'il contribue à la [52] détérioration de la capacité de négociation des travailleurs déqu</w:t>
      </w:r>
      <w:r w:rsidRPr="00026D95">
        <w:t>a</w:t>
      </w:r>
      <w:r w:rsidRPr="00026D95">
        <w:t>lifiés et peu protégés. La pauvreté, qui ne se résume pas à une insuff</w:t>
      </w:r>
      <w:r w:rsidRPr="00026D95">
        <w:t>i</w:t>
      </w:r>
      <w:r w:rsidRPr="00026D95">
        <w:t>sance du revenu, se manifeste aussi par de mauvaises conditions d'h</w:t>
      </w:r>
      <w:r w:rsidRPr="00026D95">
        <w:t>a</w:t>
      </w:r>
      <w:r w:rsidRPr="00026D95">
        <w:t>bitation, par un état de santé précaire, par l'excl</w:t>
      </w:r>
      <w:r w:rsidRPr="00026D95">
        <w:t>u</w:t>
      </w:r>
      <w:r w:rsidRPr="00026D95">
        <w:t>sion culturelle, par une carence en matière de formation et de qualification, etc. En ce sens, elle met en lumière toute une série de problèmes qui exigent des solutions diversifiées, si on se refuse à la marginalisation définitive de catég</w:t>
      </w:r>
      <w:r w:rsidRPr="00026D95">
        <w:t>o</w:t>
      </w:r>
      <w:r w:rsidRPr="00026D95">
        <w:t>ries importantes de la population.</w:t>
      </w:r>
    </w:p>
    <w:p w:rsidR="00F35523" w:rsidRDefault="00F35523" w:rsidP="00F35523">
      <w:pPr>
        <w:spacing w:before="120" w:after="120"/>
        <w:jc w:val="both"/>
      </w:pPr>
      <w:r w:rsidRPr="00026D95">
        <w:t>Les difficultés attachées au chômage actuel sont autant de probl</w:t>
      </w:r>
      <w:r w:rsidRPr="00026D95">
        <w:t>è</w:t>
      </w:r>
      <w:r w:rsidRPr="00026D95">
        <w:t>mes à r</w:t>
      </w:r>
      <w:r w:rsidRPr="00026D95">
        <w:t>é</w:t>
      </w:r>
      <w:r w:rsidRPr="00026D95">
        <w:t>soudre pour la protection sociale et, selon plusieurs, appellent une réorganis</w:t>
      </w:r>
      <w:r w:rsidRPr="00026D95">
        <w:t>a</w:t>
      </w:r>
      <w:r w:rsidRPr="00026D95">
        <w:t>tion.</w:t>
      </w:r>
      <w:r>
        <w:t> </w:t>
      </w:r>
      <w:r w:rsidRPr="00026D95">
        <w:rPr>
          <w:rStyle w:val="Appelnotedebasdep"/>
        </w:rPr>
        <w:footnoteReference w:id="4"/>
      </w:r>
      <w:r w:rsidRPr="00026D95">
        <w:t xml:space="preserve"> La réponse la plus immédiate et la plus courante a consisté, dans des marges très variables cependant, à réduire la pr</w:t>
      </w:r>
      <w:r w:rsidRPr="00026D95">
        <w:t>o</w:t>
      </w:r>
      <w:r w:rsidRPr="00026D95">
        <w:t>gression des dépenses destinées aux sans-emploi. D'abord, on pense au plafonnement ou à la réduction de la v</w:t>
      </w:r>
      <w:r w:rsidRPr="00026D95">
        <w:t>a</w:t>
      </w:r>
      <w:r w:rsidRPr="00026D95">
        <w:t>leur réelle du niveau de protection sociale et aux restrictions à l'admissibilité des bénéficiaires. Ensuite — afin de réduire la pression du chômage — viennent dive</w:t>
      </w:r>
      <w:r w:rsidRPr="00026D95">
        <w:t>r</w:t>
      </w:r>
      <w:r w:rsidRPr="00026D95">
        <w:t>ses mesures de refoulement de franges de la population hors du ma</w:t>
      </w:r>
      <w:r w:rsidRPr="00026D95">
        <w:t>r</w:t>
      </w:r>
      <w:r w:rsidRPr="00026D95">
        <w:t>ché du travail, par exemple le maintien des jeunes aux études ou dans des filières de formation ou l'incitation à la retraite anticipée ou non, par l'octroi de primes.</w:t>
      </w:r>
    </w:p>
    <w:p w:rsidR="00F35523" w:rsidRDefault="00F35523" w:rsidP="00F35523">
      <w:pPr>
        <w:spacing w:before="120" w:after="120"/>
        <w:jc w:val="both"/>
      </w:pPr>
      <w:r w:rsidRPr="00026D95">
        <w:t>Le chômage prolongé ou répétitif pose un problème particulier quand on considère les mesures passives concernant les sans-emploi, mesures qui prennent essentiellement la forme de mécanismes de s</w:t>
      </w:r>
      <w:r w:rsidRPr="00026D95">
        <w:t>é</w:t>
      </w:r>
      <w:r w:rsidRPr="00026D95">
        <w:t>curité du revenu. Au-delà du coût de ces mécanismes, c'est le hiatus entre des mesures qui se voulaient ponctuelles ou destinées aux pe</w:t>
      </w:r>
      <w:r w:rsidRPr="00026D95">
        <w:t>r</w:t>
      </w:r>
      <w:r w:rsidRPr="00026D95">
        <w:t>sonnes inaptes au travail et une masse de bénéficia</w:t>
      </w:r>
      <w:r w:rsidRPr="00026D95">
        <w:t>i</w:t>
      </w:r>
      <w:r w:rsidRPr="00026D95">
        <w:t>res aptes au travail qui sont demandeurs de prestations de façon répétitive ou prolongée qui ressort très nettement. La rhétorique de la responsabilité indiv</w:t>
      </w:r>
      <w:r w:rsidRPr="00026D95">
        <w:t>i</w:t>
      </w:r>
      <w:r w:rsidRPr="00026D95">
        <w:t>duelle des bénéficiaires, de la dépendance à l'égard de l'État, de la sous-qualification de la main-d’oeuvre a fait surface aussi bien pour critiquer le filet de sécurité du revenu existant que pour suggérer des repères pour une réorgan</w:t>
      </w:r>
      <w:r w:rsidRPr="00026D95">
        <w:t>i</w:t>
      </w:r>
      <w:r w:rsidRPr="00026D95">
        <w:t>sation fondamentale. La massification des sans-emploi a imposé le thème de la gestion sociale et professionnelle d'une population de plus en plus nombreuse qui échappe à la discipl</w:t>
      </w:r>
      <w:r w:rsidRPr="00026D95">
        <w:t>i</w:t>
      </w:r>
      <w:r w:rsidRPr="00026D95">
        <w:t>ne du travail. De là l'introduction généralisée d'une dimension cond</w:t>
      </w:r>
      <w:r w:rsidRPr="00026D95">
        <w:t>i</w:t>
      </w:r>
      <w:r w:rsidRPr="00026D95">
        <w:t xml:space="preserve">tionnelle aux mécanismes de sécurité du revenu, que l'on associe à la notion de </w:t>
      </w:r>
      <w:r w:rsidRPr="00026D95">
        <w:rPr>
          <w:i/>
        </w:rPr>
        <w:t xml:space="preserve">workfare. </w:t>
      </w:r>
      <w:r w:rsidRPr="00026D95">
        <w:t>Cette subordination de droits sociaux à des mes</w:t>
      </w:r>
      <w:r w:rsidRPr="00026D95">
        <w:t>u</w:t>
      </w:r>
      <w:r w:rsidRPr="00026D95">
        <w:t>res conditionnelles prendra tout son sens selon la façon dont elle s'in</w:t>
      </w:r>
      <w:r w:rsidRPr="00026D95">
        <w:t>s</w:t>
      </w:r>
      <w:r w:rsidRPr="00026D95">
        <w:t>crira dans la logique d'intervention propre à l'une ou l'autre des conf</w:t>
      </w:r>
      <w:r w:rsidRPr="00026D95">
        <w:t>i</w:t>
      </w:r>
      <w:r w:rsidRPr="00026D95">
        <w:t>gurations de l’État-Providence.</w:t>
      </w:r>
    </w:p>
    <w:p w:rsidR="00F35523" w:rsidRPr="00026D95" w:rsidRDefault="00F35523" w:rsidP="00F35523">
      <w:pPr>
        <w:spacing w:before="120" w:after="120"/>
        <w:jc w:val="both"/>
      </w:pPr>
    </w:p>
    <w:p w:rsidR="00F35523" w:rsidRPr="00026D95" w:rsidRDefault="00F35523" w:rsidP="00F35523">
      <w:pPr>
        <w:spacing w:before="120" w:after="120"/>
        <w:jc w:val="both"/>
      </w:pPr>
      <w:r w:rsidRPr="00026D95">
        <w:t>[53]</w:t>
      </w:r>
    </w:p>
    <w:p w:rsidR="00F35523" w:rsidRDefault="00F35523" w:rsidP="00F35523">
      <w:pPr>
        <w:spacing w:before="120" w:after="120"/>
        <w:jc w:val="both"/>
      </w:pPr>
      <w:r w:rsidRPr="00026D95">
        <w:t>La croissance de la pauvreté sollicite elle aussi des réponses no</w:t>
      </w:r>
      <w:r w:rsidRPr="00026D95">
        <w:t>u</w:t>
      </w:r>
      <w:r w:rsidRPr="00026D95">
        <w:t>velles dans les systèmes de protection sociale. L'apparition de pr</w:t>
      </w:r>
      <w:r w:rsidRPr="00026D95">
        <w:t>o</w:t>
      </w:r>
      <w:r w:rsidRPr="00026D95">
        <w:t>grammes de revenu m</w:t>
      </w:r>
      <w:r w:rsidRPr="00026D95">
        <w:t>i</w:t>
      </w:r>
      <w:r w:rsidRPr="00026D95">
        <w:t>nimum ces dernières années, là où ce genre de mesures était absent, en témo</w:t>
      </w:r>
      <w:r w:rsidRPr="00026D95">
        <w:t>i</w:t>
      </w:r>
      <w:r w:rsidRPr="00026D95">
        <w:t>gne. Parallèlement, on remarque une insistance de plus en plus grande pour r</w:t>
      </w:r>
      <w:r w:rsidRPr="00026D95">
        <w:t>e</w:t>
      </w:r>
      <w:r w:rsidRPr="00026D95">
        <w:t>définir la sécurité du revenu en fonction des populations pauvres, ce qui a so</w:t>
      </w:r>
      <w:r w:rsidRPr="00026D95">
        <w:t>u</w:t>
      </w:r>
      <w:r w:rsidRPr="00026D95">
        <w:t>vent pour revers de repousser les classes moyennes vers des mécanismes privés d'assura</w:t>
      </w:r>
      <w:r w:rsidRPr="00026D95">
        <w:t>n</w:t>
      </w:r>
      <w:r w:rsidRPr="00026D95">
        <w:t>ce sociale.</w:t>
      </w:r>
      <w:r>
        <w:t> </w:t>
      </w:r>
      <w:r w:rsidRPr="00026D95">
        <w:rPr>
          <w:rStyle w:val="Appelnotedebasdep"/>
        </w:rPr>
        <w:footnoteReference w:id="5"/>
      </w:r>
      <w:r w:rsidRPr="00026D95">
        <w:t xml:space="preserve"> À terme, ce processus est susceptible de saper la légitim</w:t>
      </w:r>
      <w:r w:rsidRPr="00026D95">
        <w:t>i</w:t>
      </w:r>
      <w:r w:rsidRPr="00026D95">
        <w:t>té d'une protection sociale qui reposerait de plus en plus sur des pr</w:t>
      </w:r>
      <w:r w:rsidRPr="00026D95">
        <w:t>o</w:t>
      </w:r>
      <w:r w:rsidRPr="00026D95">
        <w:t>grammes s</w:t>
      </w:r>
      <w:r w:rsidRPr="00026D95">
        <w:t>o</w:t>
      </w:r>
      <w:r w:rsidRPr="00026D95">
        <w:t>ciaux subordonnés à des examens de ressources. Quoi qu'il en soit, si les syst</w:t>
      </w:r>
      <w:r w:rsidRPr="00026D95">
        <w:t>è</w:t>
      </w:r>
      <w:r w:rsidRPr="00026D95">
        <w:t>mes de protection sociale ont pu absorber la montée de la pauvreté, tous ne se sont pas acquittés également de cette responsabilité. La comparaison de huit pays industrialisés à la fin des années quatre-vingt montre que les États-Unis connaissent le taux de pauvreté le plus élevé : la démarcation est nette. La place relative des États-Unis ne s'explique pas par des conditions économiques partic</w:t>
      </w:r>
      <w:r w:rsidRPr="00026D95">
        <w:t>u</w:t>
      </w:r>
      <w:r w:rsidRPr="00026D95">
        <w:t>lièrement difficiles, mais plutôt par un filet de sécurité du revenu in</w:t>
      </w:r>
      <w:r w:rsidRPr="00026D95">
        <w:t>a</w:t>
      </w:r>
      <w:r w:rsidRPr="00026D95">
        <w:t>déquat. C'est dans ce pays que les retombées du système de taxation et de transferts sur la pauvreté sont les plus limitées.</w:t>
      </w:r>
      <w:r>
        <w:t> </w:t>
      </w:r>
      <w:r w:rsidRPr="00026D95">
        <w:rPr>
          <w:rStyle w:val="Appelnotedebasdep"/>
        </w:rPr>
        <w:footnoteReference w:id="6"/>
      </w:r>
      <w:r w:rsidRPr="00026D95">
        <w:t xml:space="preserve"> Le Canada arrive à bonne distance à cet égard, mais tout de même au deuxième rang (avec l'Australie tout près) pour ce qui est du taux de pauvreté et de l'efficacité relative du système de taxation et de transferts.</w:t>
      </w:r>
      <w:r>
        <w:t> </w:t>
      </w:r>
      <w:r w:rsidRPr="00026D95">
        <w:rPr>
          <w:rStyle w:val="Appelnotedebasdep"/>
        </w:rPr>
        <w:footnoteReference w:id="7"/>
      </w:r>
    </w:p>
    <w:p w:rsidR="00F35523" w:rsidRDefault="00F35523" w:rsidP="00F35523">
      <w:pPr>
        <w:spacing w:before="120" w:after="120"/>
        <w:jc w:val="both"/>
      </w:pPr>
      <w:r>
        <w:br w:type="page"/>
      </w:r>
    </w:p>
    <w:p w:rsidR="00F35523" w:rsidRPr="008A206B" w:rsidRDefault="00F35523" w:rsidP="00F35523">
      <w:pPr>
        <w:pStyle w:val="bb"/>
      </w:pPr>
      <w:r w:rsidRPr="008A206B">
        <w:t>La flexibilité contre la protection sociale</w:t>
      </w:r>
    </w:p>
    <w:p w:rsidR="00F35523" w:rsidRDefault="00F35523" w:rsidP="00F35523">
      <w:pPr>
        <w:spacing w:before="120" w:after="120"/>
        <w:jc w:val="both"/>
      </w:pPr>
    </w:p>
    <w:p w:rsidR="00F35523" w:rsidRDefault="00F35523" w:rsidP="00F35523">
      <w:pPr>
        <w:spacing w:before="120" w:after="120"/>
        <w:jc w:val="both"/>
      </w:pPr>
      <w:r w:rsidRPr="00026D95">
        <w:t>Par ailleurs, les diverses mesures de protection sociale visant les travailleurs sont soupçonnées d'occasionner des lourdeurs et d'être à l'origine de comport</w:t>
      </w:r>
      <w:r w:rsidRPr="00026D95">
        <w:t>e</w:t>
      </w:r>
      <w:r w:rsidRPr="00026D95">
        <w:t>ments freinant les adaptations jugées nécessaires en période de changements rapides.</w:t>
      </w:r>
      <w:r>
        <w:t> </w:t>
      </w:r>
      <w:r w:rsidRPr="00026D95">
        <w:rPr>
          <w:rStyle w:val="Appelnotedebasdep"/>
        </w:rPr>
        <w:footnoteReference w:id="8"/>
      </w:r>
      <w:r w:rsidRPr="00026D95">
        <w:t xml:space="preserve"> On pointe du doigt les diff</w:t>
      </w:r>
      <w:r w:rsidRPr="00026D95">
        <w:t>i</w:t>
      </w:r>
      <w:r w:rsidRPr="00026D95">
        <w:t>cultés d'harmonisation des qualifications ou des salaires, la mobilité limitée des travailleurs, la « désincitation » à un retour sur le marché du tr</w:t>
      </w:r>
      <w:r w:rsidRPr="00026D95">
        <w:t>a</w:t>
      </w:r>
      <w:r w:rsidRPr="00026D95">
        <w:t xml:space="preserve">vail après la perte d'emploi, </w:t>
      </w:r>
      <w:r>
        <w:t>l’i</w:t>
      </w:r>
      <w:r w:rsidRPr="00026D95">
        <w:t>nadéquation entre la qualification attendue [54] des travailleurs et l'état réel de la formation, les compo</w:t>
      </w:r>
      <w:r w:rsidRPr="00026D95">
        <w:t>r</w:t>
      </w:r>
      <w:r w:rsidRPr="00026D95">
        <w:t xml:space="preserve">tements de dépendance des travailleurs à l'égard des mécanismes de sécurité sociale, etc. En d'autres termes, </w:t>
      </w:r>
      <w:r>
        <w:t>l</w:t>
      </w:r>
      <w:r w:rsidRPr="00026D95">
        <w:t>’état actuel des droits s</w:t>
      </w:r>
      <w:r w:rsidRPr="00026D95">
        <w:t>o</w:t>
      </w:r>
      <w:r w:rsidRPr="00026D95">
        <w:t>ciaux constituerait un blocage majeur à l'atteinte de la flexibilité économ</w:t>
      </w:r>
      <w:r w:rsidRPr="00026D95">
        <w:t>i</w:t>
      </w:r>
      <w:r w:rsidRPr="00026D95">
        <w:t>que. D'ailleurs, on peut relever en Amérique du Nord et en Eur</w:t>
      </w:r>
      <w:r w:rsidRPr="00026D95">
        <w:t>o</w:t>
      </w:r>
      <w:r w:rsidRPr="00026D95">
        <w:t>pe toute une série d'actions de l'État visant à accroître la flexibilité du marché du travail.</w:t>
      </w:r>
    </w:p>
    <w:p w:rsidR="00F35523" w:rsidRDefault="00F35523" w:rsidP="00F35523">
      <w:pPr>
        <w:spacing w:before="120" w:after="120"/>
        <w:jc w:val="both"/>
      </w:pPr>
      <w:r w:rsidRPr="00026D95">
        <w:t>Malgré ces affirmations, qui appuient une remise en question des formes in</w:t>
      </w:r>
      <w:r w:rsidRPr="00026D95">
        <w:t>s</w:t>
      </w:r>
      <w:r w:rsidRPr="00026D95">
        <w:t>titutionnelles existantes, une démonstration convaincante reste à faire, surtout si l'on veut rendre compte des effets à court et à moyen terme, non seulement sur une base sectorielle mais aussi dans une perspective d'ensemble. C'est ainsi que, malgré les attentes, on a pu montrer que, comparativement aux États-Unis, les institutions de plusieurs pays européens semblent encourager les arrangements concernant les heures de travail et, de ce fait, réduisent le besoin de modifier le niveau d'emploi par licenciements ou embauches.</w:t>
      </w:r>
      <w:r>
        <w:t> </w:t>
      </w:r>
      <w:r w:rsidRPr="00026D95">
        <w:rPr>
          <w:rStyle w:val="Appelnotedebasdep"/>
        </w:rPr>
        <w:footnoteReference w:id="9"/>
      </w:r>
      <w:r w:rsidRPr="00026D95">
        <w:t xml:space="preserve"> De façon générale, il est e</w:t>
      </w:r>
      <w:r w:rsidRPr="00026D95">
        <w:t>x</w:t>
      </w:r>
      <w:r w:rsidRPr="00026D95">
        <w:t>trêmement difficile de démontrer qu'il y a un lien entre la flexibilité et l'efficac</w:t>
      </w:r>
      <w:r w:rsidRPr="00026D95">
        <w:t>i</w:t>
      </w:r>
      <w:r w:rsidRPr="00026D95">
        <w:t>té.</w:t>
      </w:r>
      <w:r>
        <w:t> </w:t>
      </w:r>
      <w:r w:rsidRPr="00026D95">
        <w:rPr>
          <w:rStyle w:val="Appelnotedebasdep"/>
        </w:rPr>
        <w:footnoteReference w:id="10"/>
      </w:r>
    </w:p>
    <w:p w:rsidR="00F35523" w:rsidRDefault="00F35523" w:rsidP="00F35523">
      <w:pPr>
        <w:spacing w:before="120" w:after="120"/>
        <w:jc w:val="both"/>
      </w:pPr>
    </w:p>
    <w:p w:rsidR="00F35523" w:rsidRDefault="00F35523" w:rsidP="00F35523">
      <w:pPr>
        <w:spacing w:before="120" w:after="120"/>
        <w:jc w:val="both"/>
      </w:pPr>
    </w:p>
    <w:p w:rsidR="00F35523" w:rsidRPr="008A206B" w:rsidRDefault="00F35523" w:rsidP="00F35523">
      <w:pPr>
        <w:pStyle w:val="bb"/>
      </w:pPr>
      <w:r w:rsidRPr="008A206B">
        <w:t>Compétitivité et mondialisation :</w:t>
      </w:r>
      <w:r w:rsidRPr="008A206B">
        <w:br/>
        <w:t>un nivellement par le bas ?</w:t>
      </w:r>
    </w:p>
    <w:p w:rsidR="00F35523" w:rsidRDefault="00F35523" w:rsidP="00F35523">
      <w:pPr>
        <w:spacing w:before="120" w:after="120"/>
        <w:jc w:val="both"/>
      </w:pPr>
    </w:p>
    <w:p w:rsidR="00F35523" w:rsidRDefault="00F35523" w:rsidP="00F35523">
      <w:pPr>
        <w:spacing w:before="120" w:after="120"/>
        <w:jc w:val="both"/>
      </w:pPr>
      <w:r w:rsidRPr="00026D95">
        <w:t>Le processus de mondialisation de l'économie a frappé ces derni</w:t>
      </w:r>
      <w:r w:rsidRPr="00026D95">
        <w:t>è</w:t>
      </w:r>
      <w:r w:rsidRPr="00026D95">
        <w:t>res années par son degré d'accomplissement. Dans le sillage de l'inte</w:t>
      </w:r>
      <w:r w:rsidRPr="00026D95">
        <w:t>r</w:t>
      </w:r>
      <w:r w:rsidRPr="00026D95">
        <w:t xml:space="preserve">nationalisation du processus de production, </w:t>
      </w:r>
      <w:r>
        <w:t>l</w:t>
      </w:r>
      <w:r w:rsidRPr="00026D95">
        <w:t>’interdépendance à l'échelle planétaire est devenue une donnée quotidienne qui a été re</w:t>
      </w:r>
      <w:r w:rsidRPr="00026D95">
        <w:t>n</w:t>
      </w:r>
      <w:r w:rsidRPr="00026D95">
        <w:t>forcée et incarnée, dans certaines régions du Nord en particulier, par la mise en place de réseaux économiques et politiques et par des a</w:t>
      </w:r>
      <w:r w:rsidRPr="00026D95">
        <w:t>c</w:t>
      </w:r>
      <w:r w:rsidRPr="00026D95">
        <w:t>cords continentaux donnant naissance à des instances d'arb</w:t>
      </w:r>
      <w:r w:rsidRPr="00026D95">
        <w:t>i</w:t>
      </w:r>
      <w:r w:rsidRPr="00026D95">
        <w:t>trage des différends ou d'élaboration de politiques transnationales.</w:t>
      </w:r>
      <w:r>
        <w:t> </w:t>
      </w:r>
      <w:r w:rsidRPr="00026D95">
        <w:rPr>
          <w:rStyle w:val="Appelnotedebasdep"/>
        </w:rPr>
        <w:footnoteReference w:id="11"/>
      </w:r>
    </w:p>
    <w:p w:rsidR="00F35523" w:rsidRDefault="00F35523" w:rsidP="00F35523">
      <w:pPr>
        <w:spacing w:before="120" w:after="120"/>
        <w:jc w:val="both"/>
      </w:pPr>
      <w:r w:rsidRPr="00026D95">
        <w:t>Que ce soit sous l'angle d'une économie qui échappe plus que j</w:t>
      </w:r>
      <w:r w:rsidRPr="00026D95">
        <w:t>a</w:t>
      </w:r>
      <w:r w:rsidRPr="00026D95">
        <w:t>mais aux contraintes politiques intrafrontalières ou sous celui d'une institutionnalisation politique continentale, l’État national se trouve en porte-à-faux.</w:t>
      </w:r>
      <w:r>
        <w:t> </w:t>
      </w:r>
      <w:r w:rsidRPr="00026D95">
        <w:rPr>
          <w:rStyle w:val="Appelnotedebasdep"/>
        </w:rPr>
        <w:footnoteReference w:id="12"/>
      </w:r>
      <w:r w:rsidRPr="00026D95">
        <w:t xml:space="preserve"> D'abord, les réseaux d'entreprises sont davantage en mesure d'échapper au contrôle politique et aux divers mécanismes d'élaboration de compromis sociaux négociés. Ensu</w:t>
      </w:r>
      <w:r w:rsidRPr="00026D95">
        <w:t>i</w:t>
      </w:r>
      <w:r w:rsidRPr="00026D95">
        <w:t>te, les initiatives [55] politiques sont jugées à l'aune de la compétitivité intern</w:t>
      </w:r>
      <w:r w:rsidRPr="00026D95">
        <w:t>a</w:t>
      </w:r>
      <w:r w:rsidRPr="00026D95">
        <w:t>tionale, si bien que la comparaison s'impose non seulement pour les coûts i</w:t>
      </w:r>
      <w:r w:rsidRPr="00026D95">
        <w:t>n</w:t>
      </w:r>
      <w:r w:rsidRPr="00026D95">
        <w:t>duits, mais aussi pour les contraintes institutionnelles. Enfin, l'État est de plus en plus pris en tenaille entre les implications de son insertion mondiale et des structures sociales, des acteurs et des identités qui re</w:t>
      </w:r>
      <w:r w:rsidRPr="00026D95">
        <w:t>s</w:t>
      </w:r>
      <w:r w:rsidRPr="00026D95">
        <w:t>tent définis par l'espace national et auxquels le pouvoir politique doit répondre. Robert Reich exprime ainsi ce dilemme : « La question est de savoir si les habitudes de la citoyenneté seront suffisamment fe</w:t>
      </w:r>
      <w:r w:rsidRPr="00026D95">
        <w:t>r</w:t>
      </w:r>
      <w:r w:rsidRPr="00026D95">
        <w:t>mes pour résister aux forces centrifuges de la nouvelle économie mondiale. »</w:t>
      </w:r>
      <w:r>
        <w:t> </w:t>
      </w:r>
      <w:r w:rsidRPr="00026D95">
        <w:rPr>
          <w:rStyle w:val="Appelnotedebasdep"/>
        </w:rPr>
        <w:footnoteReference w:id="13"/>
      </w:r>
    </w:p>
    <w:p w:rsidR="00F35523" w:rsidRDefault="00F35523" w:rsidP="00F35523">
      <w:pPr>
        <w:spacing w:before="120" w:after="120"/>
        <w:jc w:val="both"/>
      </w:pPr>
      <w:r w:rsidRPr="00026D95">
        <w:t>Il n'y a pas à ce sujet de vision unique, mais bien plutôt un débat qui renvoie aux intérêts sociaux, économiques et politiques des diff</w:t>
      </w:r>
      <w:r w:rsidRPr="00026D95">
        <w:t>é</w:t>
      </w:r>
      <w:r w:rsidRPr="00026D95">
        <w:t>rents acteurs. Si, pour les tenants du néolibéralisme, le désengagement de l'État est la seule voie pe</w:t>
      </w:r>
      <w:r w:rsidRPr="00026D95">
        <w:t>r</w:t>
      </w:r>
      <w:r w:rsidRPr="00026D95">
        <w:t>mettant d'assurer une bonne tenue de l'économie d'un pays et, à terme, un n</w:t>
      </w:r>
      <w:r w:rsidRPr="00026D95">
        <w:t>i</w:t>
      </w:r>
      <w:r w:rsidRPr="00026D95">
        <w:t xml:space="preserve">veau de vie acceptable pour sa population, pour d'autres, </w:t>
      </w:r>
      <w:r>
        <w:t>l</w:t>
      </w:r>
      <w:r w:rsidRPr="00026D95">
        <w:t>’ouverture des éc</w:t>
      </w:r>
      <w:r w:rsidRPr="00026D95">
        <w:t>o</w:t>
      </w:r>
      <w:r w:rsidRPr="00026D95">
        <w:t>nomies n'invalide pas les mesures publiques — on en veut pour preuve l'impo</w:t>
      </w:r>
      <w:r w:rsidRPr="00026D95">
        <w:t>r</w:t>
      </w:r>
      <w:r w:rsidRPr="00026D95">
        <w:t>tance relative des mesures sociales dans les petits pays à économie ouverte, ou la cap</w:t>
      </w:r>
      <w:r w:rsidRPr="00026D95">
        <w:t>a</w:t>
      </w:r>
      <w:r w:rsidRPr="00026D95">
        <w:t>cité de faire face à la contrainte de compétitivité de pays fortement e</w:t>
      </w:r>
      <w:r w:rsidRPr="00026D95">
        <w:t>x</w:t>
      </w:r>
      <w:r w:rsidRPr="00026D95">
        <w:t>portateurs comme l'Allemagne et les Pays-Bas.</w:t>
      </w:r>
    </w:p>
    <w:p w:rsidR="00F35523" w:rsidRDefault="00F35523" w:rsidP="00F35523">
      <w:pPr>
        <w:spacing w:before="120" w:after="120"/>
        <w:jc w:val="both"/>
      </w:pPr>
      <w:r w:rsidRPr="00026D95">
        <w:t>Il reste que les dépenses sociales ainsi que les normes et contrai</w:t>
      </w:r>
      <w:r w:rsidRPr="00026D95">
        <w:t>n</w:t>
      </w:r>
      <w:r w:rsidRPr="00026D95">
        <w:t>tes des sy</w:t>
      </w:r>
      <w:r w:rsidRPr="00026D95">
        <w:t>s</w:t>
      </w:r>
      <w:r w:rsidRPr="00026D95">
        <w:t>tèmes de protection sociale sont le plus souvent jugées contraires à la capacité de faire face aux impératifs de compétitiv</w:t>
      </w:r>
      <w:r w:rsidRPr="00026D95">
        <w:t>i</w:t>
      </w:r>
      <w:r w:rsidRPr="00026D95">
        <w:t>té.</w:t>
      </w:r>
      <w:r>
        <w:t> </w:t>
      </w:r>
      <w:r w:rsidRPr="00026D95">
        <w:rPr>
          <w:rStyle w:val="Appelnotedebasdep"/>
        </w:rPr>
        <w:footnoteReference w:id="14"/>
      </w:r>
      <w:r w:rsidRPr="00026D95">
        <w:t xml:space="preserve"> On affirmera tantôt que les sy</w:t>
      </w:r>
      <w:r w:rsidRPr="00026D95">
        <w:t>s</w:t>
      </w:r>
      <w:r w:rsidRPr="00026D95">
        <w:t>tèmes de protection sociale sont en danger à cause de la forte compétition inte</w:t>
      </w:r>
      <w:r w:rsidRPr="00026D95">
        <w:t>r</w:t>
      </w:r>
      <w:r w:rsidRPr="00026D95">
        <w:t>nationale venant soit de pays où le coût lié à la protection sociale est faible et qui ont réce</w:t>
      </w:r>
      <w:r w:rsidRPr="00026D95">
        <w:t>m</w:t>
      </w:r>
      <w:r w:rsidRPr="00026D95">
        <w:t>ment amélioré grandement leur compétitivité en matière de product</w:t>
      </w:r>
      <w:r w:rsidRPr="00026D95">
        <w:t>i</w:t>
      </w:r>
      <w:r w:rsidRPr="00026D95">
        <w:t>vité ou de qualité de produit, soit de pays déjà fortement industrial</w:t>
      </w:r>
      <w:r w:rsidRPr="00026D95">
        <w:t>i</w:t>
      </w:r>
      <w:r w:rsidRPr="00026D95">
        <w:t>sés, de haute productivité et innovateurs qui ont commencé à réduire les charges soci</w:t>
      </w:r>
      <w:r w:rsidRPr="00026D95">
        <w:t>a</w:t>
      </w:r>
      <w:r w:rsidRPr="00026D95">
        <w:t>les des entreprises. Ou alors, on considérera que la compétitivité est elle-même en danger du fait d'une protection sociale trop lourde, qui ferait obstacle à une productivité accrue et à une plus grande capacité d'innovation. La protection sociale, d'une manière ou d'une autre, est considérée comme antinomique par rapport à la co</w:t>
      </w:r>
      <w:r w:rsidRPr="00026D95">
        <w:t>m</w:t>
      </w:r>
      <w:r w:rsidRPr="00026D95">
        <w:t>pétitivité et à la mondialisation.</w:t>
      </w:r>
    </w:p>
    <w:p w:rsidR="00F35523" w:rsidRDefault="00F35523" w:rsidP="00F35523">
      <w:pPr>
        <w:spacing w:before="120" w:after="120"/>
        <w:jc w:val="both"/>
      </w:pPr>
      <w:r w:rsidRPr="00026D95">
        <w:t>L'analyse comparée des pays du Nord, qui met en évidence le poids relatif de leur protection sociale et une série d'indices témo</w:t>
      </w:r>
      <w:r w:rsidRPr="00026D95">
        <w:t>i</w:t>
      </w:r>
      <w:r w:rsidRPr="00026D95">
        <w:t>gnant de leur compétitivité ou de leur insertion sur le marché mondial au cours des années quatre-vingt, ne permet ni de confirmer ni de rej</w:t>
      </w:r>
      <w:r w:rsidRPr="00026D95">
        <w:t>e</w:t>
      </w:r>
      <w:r w:rsidRPr="00026D95">
        <w:t>ter ces [56] affirmations, mais invite plutôt à la prudence.</w:t>
      </w:r>
      <w:r>
        <w:t> </w:t>
      </w:r>
      <w:r w:rsidRPr="00026D95">
        <w:rPr>
          <w:rStyle w:val="Appelnotedebasdep"/>
        </w:rPr>
        <w:footnoteReference w:id="15"/>
      </w:r>
      <w:r w:rsidRPr="00026D95">
        <w:t xml:space="preserve"> La co</w:t>
      </w:r>
      <w:r w:rsidRPr="00026D95">
        <w:t>m</w:t>
      </w:r>
      <w:r w:rsidRPr="00026D95">
        <w:t>pétition internationale exerce sans doute une pression sur les systèmes de protection sociale, mais il est loin d'être évident que la prote</w:t>
      </w:r>
      <w:r w:rsidRPr="00026D95">
        <w:t>c</w:t>
      </w:r>
      <w:r w:rsidRPr="00026D95">
        <w:t>tion sociale hypothèque la compétitivité. De toute façon, la relation entre la protection sociale et la compétitivité doit, pour être traitée corre</w:t>
      </w:r>
      <w:r w:rsidRPr="00026D95">
        <w:t>c</w:t>
      </w:r>
      <w:r w:rsidRPr="00026D95">
        <w:t>tement, être située dans un faisceau complexe de relations. En effet, il faut considérer la relation entre la configuration de l'intervention p</w:t>
      </w:r>
      <w:r w:rsidRPr="00026D95">
        <w:t>u</w:t>
      </w:r>
      <w:r w:rsidRPr="00026D95">
        <w:t>blique et sa jonction avec la structure économique et les formes de représentation des acteurs. Ce n'est qu'une fois ce</w:t>
      </w:r>
      <w:r w:rsidRPr="00026D95">
        <w:t>t</w:t>
      </w:r>
      <w:r w:rsidRPr="00026D95">
        <w:t>te relation posée dans toute sa simplicité qu'il semble y avoir un motif suffisant pour procéder à une remise en question des mesures sociales.</w:t>
      </w:r>
    </w:p>
    <w:p w:rsidR="00F35523" w:rsidRDefault="00F35523" w:rsidP="00F35523">
      <w:pPr>
        <w:spacing w:before="120" w:after="120"/>
        <w:jc w:val="both"/>
      </w:pPr>
    </w:p>
    <w:p w:rsidR="00F35523" w:rsidRPr="008A206B" w:rsidRDefault="00F35523" w:rsidP="00F35523">
      <w:pPr>
        <w:pStyle w:val="bb"/>
      </w:pPr>
      <w:r w:rsidRPr="008A206B">
        <w:t>Les types d’État-Providence :</w:t>
      </w:r>
      <w:r w:rsidRPr="008A206B">
        <w:br/>
        <w:t>des configurations différenciées</w:t>
      </w:r>
    </w:p>
    <w:p w:rsidR="00F35523" w:rsidRDefault="00F35523" w:rsidP="00F35523">
      <w:pPr>
        <w:spacing w:before="120" w:after="120"/>
        <w:jc w:val="both"/>
      </w:pPr>
    </w:p>
    <w:p w:rsidR="00F35523" w:rsidRDefault="00F35523" w:rsidP="00F35523">
      <w:pPr>
        <w:spacing w:before="120" w:after="120"/>
        <w:jc w:val="both"/>
      </w:pPr>
      <w:r w:rsidRPr="00026D95">
        <w:t>La référence générale à la protection sociale camoufle des diff</w:t>
      </w:r>
      <w:r w:rsidRPr="00026D95">
        <w:t>é</w:t>
      </w:r>
      <w:r w:rsidRPr="00026D95">
        <w:t>rences inst</w:t>
      </w:r>
      <w:r w:rsidRPr="00026D95">
        <w:t>i</w:t>
      </w:r>
      <w:r w:rsidRPr="00026D95">
        <w:t>tutionnelles fondamentales. Plusieurs auteurs ont tenté de mettre en relief ces différences à l'aide de typologies ou de caractér</w:t>
      </w:r>
      <w:r w:rsidRPr="00026D95">
        <w:t>i</w:t>
      </w:r>
      <w:r w:rsidRPr="00026D95">
        <w:t>sations des formes d’État-Providence. Ces typologies, en rompant avec la perception uniforme de l'État-providence, rendent compte des logiques et des orientations distinctes inscrites dans les formes instit</w:t>
      </w:r>
      <w:r w:rsidRPr="00026D95">
        <w:t>u</w:t>
      </w:r>
      <w:r w:rsidRPr="00026D95">
        <w:t>tionnelles, lesquelles façonnent les pratiques des acteurs et donnent leur sens aux actions entreprises.</w:t>
      </w:r>
    </w:p>
    <w:p w:rsidR="00F35523" w:rsidRPr="00026D95" w:rsidRDefault="00F35523" w:rsidP="00F35523">
      <w:pPr>
        <w:spacing w:before="120" w:after="120"/>
        <w:jc w:val="both"/>
      </w:pPr>
      <w:r w:rsidRPr="00026D95">
        <w:t>On connaît la distinction que propose Titmuss</w:t>
      </w:r>
      <w:r>
        <w:t> </w:t>
      </w:r>
      <w:r w:rsidRPr="00026D95">
        <w:rPr>
          <w:rStyle w:val="Appelnotedebasdep"/>
        </w:rPr>
        <w:footnoteReference w:id="16"/>
      </w:r>
      <w:r w:rsidRPr="00026D95">
        <w:t xml:space="preserve"> entre les modèles résiduel (rôle minimaliste-su</w:t>
      </w:r>
      <w:r>
        <w:t>pplétif de l'État), industriel-</w:t>
      </w:r>
      <w:r w:rsidRPr="00026D95">
        <w:t>accompli (institutions de bien-être comme auxiliaires de l'économie) et instit</w:t>
      </w:r>
      <w:r w:rsidRPr="00026D95">
        <w:t>u</w:t>
      </w:r>
      <w:r w:rsidRPr="00026D95">
        <w:t>tionnel-redistributif (protection sociale comme institution majeure d'intégration). Cette typologie a été critiquée, notamment parce qu'elle est faiblement discriminante et évolutionniste.</w:t>
      </w:r>
      <w:r>
        <w:t> </w:t>
      </w:r>
      <w:r w:rsidRPr="00026D95">
        <w:rPr>
          <w:rStyle w:val="Appelnotedebasdep"/>
        </w:rPr>
        <w:footnoteReference w:id="17"/>
      </w:r>
      <w:r w:rsidRPr="00026D95">
        <w:t xml:space="preserve"> Plus près de notre point de vue, Therborn</w:t>
      </w:r>
      <w:r>
        <w:t> </w:t>
      </w:r>
      <w:r w:rsidRPr="00026D95">
        <w:rPr>
          <w:rStyle w:val="Appelnotedebasdep"/>
        </w:rPr>
        <w:footnoteReference w:id="18"/>
      </w:r>
      <w:r w:rsidRPr="00026D95">
        <w:t>, en retenant la place relative des droits s</w:t>
      </w:r>
      <w:r w:rsidRPr="00026D95">
        <w:t>o</w:t>
      </w:r>
      <w:r w:rsidRPr="00026D95">
        <w:t>ciaux et du plein emploi, a mis en évidence quatre catégories d’État-Providence, qualifiées d’État-Providence fortement interventionniste (pays d'Europe du Nord), d’État-Providence modérément compens</w:t>
      </w:r>
      <w:r w:rsidRPr="00026D95">
        <w:t>a</w:t>
      </w:r>
      <w:r w:rsidRPr="00026D95">
        <w:t>teur (pays d'Eur</w:t>
      </w:r>
      <w:r w:rsidRPr="00026D95">
        <w:t>o</w:t>
      </w:r>
      <w:r>
        <w:t>pe de l'Ouest), d'État-</w:t>
      </w:r>
      <w:r w:rsidRPr="00026D95">
        <w:t>providence modeste axé sur le plein emploi (Suisse, J</w:t>
      </w:r>
      <w:r w:rsidRPr="00026D95">
        <w:t>a</w:t>
      </w:r>
      <w:r>
        <w:t>pon) et d'État-</w:t>
      </w:r>
      <w:r w:rsidRPr="00026D95">
        <w:t>providence axé sur le marché (pays anglo-saxons).</w:t>
      </w:r>
    </w:p>
    <w:p w:rsidR="00F35523" w:rsidRPr="00026D95" w:rsidRDefault="00F35523" w:rsidP="00F35523">
      <w:pPr>
        <w:spacing w:before="120" w:after="120"/>
        <w:jc w:val="both"/>
      </w:pPr>
      <w:r>
        <w:br w:type="page"/>
      </w:r>
      <w:r w:rsidRPr="00026D95">
        <w:t>[57]</w:t>
      </w:r>
    </w:p>
    <w:p w:rsidR="00F35523" w:rsidRDefault="00F35523" w:rsidP="00F35523">
      <w:pPr>
        <w:spacing w:before="120" w:after="120"/>
        <w:jc w:val="both"/>
        <w:rPr>
          <w:i/>
        </w:rPr>
      </w:pPr>
      <w:r w:rsidRPr="00026D95">
        <w:t>Pour sa part, Esping-Andersen</w:t>
      </w:r>
      <w:r>
        <w:t> </w:t>
      </w:r>
      <w:r w:rsidRPr="00026D95">
        <w:rPr>
          <w:rStyle w:val="Appelnotedebasdep"/>
        </w:rPr>
        <w:footnoteReference w:id="19"/>
      </w:r>
      <w:r w:rsidRPr="00026D95">
        <w:t xml:space="preserve"> a mis en relief les conceptions contrastées qui ont présidé au développement de l'État-providence dans les divers pays. Trois types d’État-Providence ressortent de son étude. Cette typologie mérite d'être présentée plus attentivement dans la mesure où elle a eu un large écho et parce que nous la retiendrons plus loin, soit lorsque nous traiterons du </w:t>
      </w:r>
      <w:r w:rsidRPr="00026D95">
        <w:rPr>
          <w:i/>
        </w:rPr>
        <w:t>workfare.</w:t>
      </w:r>
    </w:p>
    <w:p w:rsidR="00F35523" w:rsidRDefault="00F35523" w:rsidP="00F35523">
      <w:pPr>
        <w:spacing w:before="120" w:after="120"/>
        <w:jc w:val="both"/>
      </w:pPr>
      <w:r w:rsidRPr="00026D95">
        <w:t xml:space="preserve">L’État-Providence </w:t>
      </w:r>
      <w:r w:rsidRPr="00026D95">
        <w:rPr>
          <w:i/>
        </w:rPr>
        <w:t xml:space="preserve">social-démocrate </w:t>
      </w:r>
      <w:r w:rsidRPr="00026D95">
        <w:t>(Norvège, Suède, Danemark) accorde une place centrale aux principes de dé-marchandisation des rapports sociaux et d'universalité. Afin de réduire la dualité entre l'État et le marché et de rapprocher la classe ouvrière et les classes moye</w:t>
      </w:r>
      <w:r w:rsidRPr="00026D95">
        <w:t>n</w:t>
      </w:r>
      <w:r w:rsidRPr="00026D95">
        <w:t>nes, la protection sociale favorise une égalité des droits et l'accès à des services supérieurs. Les programmes, dans leur fonctionnement, v</w:t>
      </w:r>
      <w:r w:rsidRPr="00026D95">
        <w:t>i</w:t>
      </w:r>
      <w:r w:rsidRPr="00026D95">
        <w:t>sent à concrétiser les principes de solidarité et d'universalité. La pol</w:t>
      </w:r>
      <w:r w:rsidRPr="00026D95">
        <w:t>i</w:t>
      </w:r>
      <w:r w:rsidRPr="00026D95">
        <w:t>tique sociale favorise une certaine émancipation à l'égard du ma</w:t>
      </w:r>
      <w:r w:rsidRPr="00026D95">
        <w:t>r</w:t>
      </w:r>
      <w:r w:rsidRPr="00026D95">
        <w:t>ché, mais aussi à l'égard de la famille traditionnelle. Enfin, la protection sociale et le travail composent un couple étroitement soudé, à la f</w:t>
      </w:r>
      <w:r w:rsidRPr="00026D95">
        <w:t>a</w:t>
      </w:r>
      <w:r w:rsidRPr="00026D95">
        <w:t>veur d'une politique de plein emploi. Une politique active d'emploi constitue en effet une condition nécessaire pour maintenir une prote</w:t>
      </w:r>
      <w:r w:rsidRPr="00026D95">
        <w:t>c</w:t>
      </w:r>
      <w:r w:rsidRPr="00026D95">
        <w:t>tion sociale basée sur la solidarité, la dé-marchandisation et l'univers</w:t>
      </w:r>
      <w:r w:rsidRPr="00026D95">
        <w:t>a</w:t>
      </w:r>
      <w:r w:rsidRPr="00026D95">
        <w:t>lité.</w:t>
      </w:r>
    </w:p>
    <w:p w:rsidR="00F35523" w:rsidRDefault="00F35523" w:rsidP="00F35523">
      <w:pPr>
        <w:spacing w:before="120" w:after="120"/>
        <w:jc w:val="both"/>
      </w:pPr>
      <w:r w:rsidRPr="00026D95">
        <w:t xml:space="preserve">La </w:t>
      </w:r>
      <w:r w:rsidRPr="00026D95">
        <w:rPr>
          <w:i/>
        </w:rPr>
        <w:t xml:space="preserve">conception libérale </w:t>
      </w:r>
      <w:r w:rsidRPr="00026D95">
        <w:t>de l'État-providence (Grande-Bretagne, États-Unis, Canada) s'actualise principalement par des régimes d'a</w:t>
      </w:r>
      <w:r w:rsidRPr="00026D95">
        <w:t>s</w:t>
      </w:r>
      <w:r w:rsidRPr="00026D95">
        <w:t>sistance basés sur des examens de ressources, par des programmes d'assurance-sociale modestes et par des paiements de transfert unive</w:t>
      </w:r>
      <w:r w:rsidRPr="00026D95">
        <w:t>r</w:t>
      </w:r>
      <w:r w:rsidRPr="00026D95">
        <w:t>sels relativement limités. L'État libéral s'occupe surtout de la popul</w:t>
      </w:r>
      <w:r w:rsidRPr="00026D95">
        <w:t>a</w:t>
      </w:r>
      <w:r w:rsidRPr="00026D95">
        <w:t>tion à faible revenu. Les progrès des politiques sociales sont indéni</w:t>
      </w:r>
      <w:r w:rsidRPr="00026D95">
        <w:t>a</w:t>
      </w:r>
      <w:r w:rsidRPr="00026D95">
        <w:t>bles mais restent imprégnés de l'éthique libérale du travail. Les r</w:t>
      </w:r>
      <w:r w:rsidRPr="00026D95">
        <w:t>è</w:t>
      </w:r>
      <w:r w:rsidRPr="00026D95">
        <w:t>gles d'admissibilité sont généralement strictes et entraînent souvent une stigm</w:t>
      </w:r>
      <w:r w:rsidRPr="00026D95">
        <w:t>a</w:t>
      </w:r>
      <w:r w:rsidRPr="00026D95">
        <w:t>tisation des bénéficiaires, et le niveau de protection demeure modeste. La pol</w:t>
      </w:r>
      <w:r w:rsidRPr="00026D95">
        <w:t>i</w:t>
      </w:r>
      <w:r w:rsidRPr="00026D95">
        <w:t>tique sociale est « résiduelle » au sens où elle limite l'intervention publique et laisse aux intérêts privés une large marge d'action. Cet État-Providenc</w:t>
      </w:r>
      <w:r>
        <w:t>e minimise les effets de la dé-</w:t>
      </w:r>
      <w:r w:rsidRPr="00026D95">
        <w:t>marchandisation, limite le champ des droits sociaux et in</w:t>
      </w:r>
      <w:r w:rsidRPr="00026D95">
        <w:t>s</w:t>
      </w:r>
      <w:r w:rsidRPr="00026D95">
        <w:t>taure un dualisme entre une masse de bénéficiaires égaux dans leur pauvreté et la majorité de la population jouissant d'une protection sociale distin</w:t>
      </w:r>
      <w:r w:rsidRPr="00026D95">
        <w:t>c</w:t>
      </w:r>
      <w:r w:rsidRPr="00026D95">
        <w:t>te, larg</w:t>
      </w:r>
      <w:r w:rsidRPr="00026D95">
        <w:t>e</w:t>
      </w:r>
      <w:r w:rsidRPr="00026D95">
        <w:t>ment protégée par des régimes privés ou semi-privés.</w:t>
      </w:r>
    </w:p>
    <w:p w:rsidR="00F35523" w:rsidRDefault="00F35523" w:rsidP="00F35523">
      <w:pPr>
        <w:spacing w:before="120" w:after="120"/>
        <w:jc w:val="both"/>
      </w:pPr>
      <w:r w:rsidRPr="00026D95">
        <w:t xml:space="preserve">L’État-Providence qualifié de </w:t>
      </w:r>
      <w:r w:rsidRPr="00026D95">
        <w:rPr>
          <w:i/>
        </w:rPr>
        <w:t xml:space="preserve">conservateur </w:t>
      </w:r>
      <w:r w:rsidRPr="00026D95">
        <w:t>rassemble des pays (Autriche, Allemagne de l'Ouest, Belgique, France, Italie) qui ont en commun un mélange d'étatisme, de réformisme paternaliste et de pe</w:t>
      </w:r>
      <w:r w:rsidRPr="00026D95">
        <w:t>n</w:t>
      </w:r>
      <w:r w:rsidRPr="00026D95">
        <w:t>sée sociale catholique, et qui favorisent les distinctions basées sur le statut. Les mécanismes de protection sociale, à travers des régimes [58] particuliers aux professions ou aux différentes catégories de tr</w:t>
      </w:r>
      <w:r w:rsidRPr="00026D95">
        <w:t>a</w:t>
      </w:r>
      <w:r w:rsidRPr="00026D95">
        <w:t>vailleurs, consolident les clivages de statut au sein de la p</w:t>
      </w:r>
      <w:r w:rsidRPr="00026D95">
        <w:t>o</w:t>
      </w:r>
      <w:r w:rsidRPr="00026D95">
        <w:t>pulation salariée. Contrairement au modèle libéral, l'idée de l'efficience du ma</w:t>
      </w:r>
      <w:r w:rsidRPr="00026D95">
        <w:t>r</w:t>
      </w:r>
      <w:r w:rsidRPr="00026D95">
        <w:t>ché et de la marchandisation, ne prime pas. Les organismes privés occupent une place assez réduite dans la protection sociale. Histor</w:t>
      </w:r>
      <w:r w:rsidRPr="00026D95">
        <w:t>i</w:t>
      </w:r>
      <w:r w:rsidRPr="00026D95">
        <w:t>quement, ce modèle conservateur a favorisé la préservation de la f</w:t>
      </w:r>
      <w:r w:rsidRPr="00026D95">
        <w:t>a</w:t>
      </w:r>
      <w:r w:rsidRPr="00026D95">
        <w:t>mille traditionnelle. La conception conservatrice partage avec le lib</w:t>
      </w:r>
      <w:r w:rsidRPr="00026D95">
        <w:t>é</w:t>
      </w:r>
      <w:r w:rsidRPr="00026D95">
        <w:t>ralisme la logique actuarielle, mais les estimations sont établies moins en fonction de l'individu qu'en fonction des catégories professionne</w:t>
      </w:r>
      <w:r w:rsidRPr="00026D95">
        <w:t>l</w:t>
      </w:r>
      <w:r w:rsidRPr="00026D95">
        <w:t>les ou des « corporations ». Parallèlement, l'État-providence conserv</w:t>
      </w:r>
      <w:r w:rsidRPr="00026D95">
        <w:t>a</w:t>
      </w:r>
      <w:r w:rsidRPr="00026D95">
        <w:t>teur se distingue du modèle social-démocrate en reconnaissant moins des droits sociaux que des droits « corporatifs », liés moins à l'état de citoyen qu'à la profession et au statut.</w:t>
      </w:r>
    </w:p>
    <w:p w:rsidR="00F35523" w:rsidRDefault="00F35523" w:rsidP="00F35523">
      <w:pPr>
        <w:spacing w:before="120" w:after="120"/>
        <w:jc w:val="both"/>
      </w:pPr>
      <w:r w:rsidRPr="00026D95">
        <w:t>Cette distribution des pays et sa justification ne sont pas sans ra</w:t>
      </w:r>
      <w:r w:rsidRPr="00026D95">
        <w:t>p</w:t>
      </w:r>
      <w:r w:rsidRPr="00026D95">
        <w:t>peler d'autres classifications qui conduisent à des conclusions comp</w:t>
      </w:r>
      <w:r w:rsidRPr="00026D95">
        <w:t>a</w:t>
      </w:r>
      <w:r w:rsidRPr="00026D95">
        <w:t>rables. Par exemple, on a pu dégager trois traditions dans la régulation du marché du travail, en di</w:t>
      </w:r>
      <w:r w:rsidRPr="00026D95">
        <w:t>s</w:t>
      </w:r>
      <w:r w:rsidRPr="00026D95">
        <w:t>tinguant le système nordique, le système latino-germanique et le système anglo-irlandais.</w:t>
      </w:r>
      <w:r>
        <w:t> </w:t>
      </w:r>
      <w:r w:rsidRPr="00026D95">
        <w:rPr>
          <w:rStyle w:val="Appelnotedebasdep"/>
        </w:rPr>
        <w:footnoteReference w:id="20"/>
      </w:r>
      <w:r w:rsidRPr="00026D95">
        <w:t xml:space="preserve"> Concernant plus spécifiquement la protection sociale</w:t>
      </w:r>
      <w:r>
        <w:t> </w:t>
      </w:r>
      <w:r w:rsidRPr="00026D95">
        <w:rPr>
          <w:rStyle w:val="Appelnotedebasdep"/>
        </w:rPr>
        <w:footnoteReference w:id="21"/>
      </w:r>
      <w:r w:rsidRPr="00026D95">
        <w:t>, on disti</w:t>
      </w:r>
      <w:r w:rsidRPr="00026D95">
        <w:t>n</w:t>
      </w:r>
      <w:r w:rsidRPr="00026D95">
        <w:t>gue assez facilement le modèle scandinave (social-démocrate) et le modèle a</w:t>
      </w:r>
      <w:r w:rsidRPr="00026D95">
        <w:t>n</w:t>
      </w:r>
      <w:r w:rsidRPr="00026D95">
        <w:t>glo-saxon (libéral) ; pour les autres pays, on parlera globalement du modèle d'Europe continentale ou on distinguera, en faisant intervenir les pays d'Europe du Sud, entre le modèle bismarckien et le modèle du « croissant latin » (Port</w:t>
      </w:r>
      <w:r w:rsidRPr="00026D95">
        <w:t>u</w:t>
      </w:r>
      <w:r w:rsidRPr="00026D95">
        <w:t>gal, Espagne, Italie, Grèce).</w:t>
      </w:r>
      <w:r>
        <w:t> </w:t>
      </w:r>
      <w:r w:rsidRPr="00026D95">
        <w:rPr>
          <w:rStyle w:val="Appelnotedebasdep"/>
        </w:rPr>
        <w:footnoteReference w:id="22"/>
      </w:r>
    </w:p>
    <w:p w:rsidR="00F35523" w:rsidRDefault="00F35523" w:rsidP="00F35523">
      <w:pPr>
        <w:spacing w:before="120" w:after="120"/>
        <w:jc w:val="both"/>
      </w:pPr>
      <w:r w:rsidRPr="00026D95">
        <w:t>Les arrangements institutionnels différenciés dont rendent compte ces typ</w:t>
      </w:r>
      <w:r w:rsidRPr="00026D95">
        <w:t>o</w:t>
      </w:r>
      <w:r w:rsidRPr="00026D95">
        <w:t>logies sont le produit de configurations distinctes de rapports de forces sociales et politiques. Le modèle social-démocrate a été g</w:t>
      </w:r>
      <w:r w:rsidRPr="00026D95">
        <w:t>é</w:t>
      </w:r>
      <w:r w:rsidRPr="00026D95">
        <w:t>néralement associé à une configuration inspirée par les forces de ga</w:t>
      </w:r>
      <w:r w:rsidRPr="00026D95">
        <w:t>u</w:t>
      </w:r>
      <w:r w:rsidRPr="00026D95">
        <w:t>che, mais il est intéressant de noter que l'on a pu établir une relation étroite entre le modèle conservateur (bismar</w:t>
      </w:r>
      <w:r w:rsidRPr="00026D95">
        <w:t>c</w:t>
      </w:r>
      <w:r w:rsidRPr="00026D95">
        <w:t>kien, continental) et une configuration des forces dominée par la démocratie chrétienne ou par une coalition de centre-gauche.</w:t>
      </w:r>
      <w:r>
        <w:t> </w:t>
      </w:r>
      <w:r w:rsidRPr="00026D95">
        <w:rPr>
          <w:rStyle w:val="Appelnotedebasdep"/>
        </w:rPr>
        <w:footnoteReference w:id="23"/>
      </w:r>
      <w:r w:rsidRPr="00026D95">
        <w:t xml:space="preserve"> En ce sens, la protection sociale n'a pas la malléabilité qu'on lui attribue souvent, car elle s'appuie sur des formes [59] institutionnelles contrastées qui prennent racine dans des traditions sociales et politiques distinctes. C'est en tenant compte de l'ensemble de ces facteurs que nous apprécierons l'évolution et les e</w:t>
      </w:r>
      <w:r w:rsidRPr="00026D95">
        <w:t>n</w:t>
      </w:r>
      <w:r w:rsidRPr="00026D95">
        <w:t>jeux de la protection sociale dans la période actuelle.</w:t>
      </w:r>
    </w:p>
    <w:p w:rsidR="00F35523" w:rsidRDefault="00F35523" w:rsidP="00F35523">
      <w:pPr>
        <w:spacing w:before="120" w:after="120"/>
        <w:jc w:val="both"/>
      </w:pPr>
    </w:p>
    <w:p w:rsidR="00F35523" w:rsidRDefault="00F35523" w:rsidP="00F35523">
      <w:pPr>
        <w:pStyle w:val="aa"/>
      </w:pPr>
      <w:bookmarkStart w:id="4" w:name="Restructuration_2"/>
      <w:r w:rsidRPr="00026D95">
        <w:t>Le modèle nord-américain ou anglo-saxon</w:t>
      </w:r>
    </w:p>
    <w:bookmarkEnd w:id="4"/>
    <w:p w:rsidR="00F35523" w:rsidRDefault="00F35523" w:rsidP="00F35523">
      <w:pPr>
        <w:spacing w:before="120" w:after="120"/>
        <w:jc w:val="both"/>
      </w:pPr>
    </w:p>
    <w:p w:rsidR="00F35523" w:rsidRPr="00384B20" w:rsidRDefault="00F35523" w:rsidP="00F35523">
      <w:pPr>
        <w:ind w:right="90" w:firstLine="0"/>
        <w:jc w:val="both"/>
        <w:rPr>
          <w:sz w:val="20"/>
        </w:rPr>
      </w:pPr>
      <w:hyperlink w:anchor="tdm" w:history="1">
        <w:r w:rsidRPr="00384B20">
          <w:rPr>
            <w:rStyle w:val="Lienhypertexte"/>
            <w:sz w:val="20"/>
          </w:rPr>
          <w:t>Retour à la table des matières</w:t>
        </w:r>
      </w:hyperlink>
    </w:p>
    <w:p w:rsidR="00F35523" w:rsidRPr="00026D95" w:rsidRDefault="00F35523" w:rsidP="00F35523">
      <w:pPr>
        <w:spacing w:before="120" w:after="120"/>
        <w:jc w:val="both"/>
      </w:pPr>
      <w:r w:rsidRPr="00026D95">
        <w:t>Les dirigeants de la Communauté européenne ont débattu en juin 1993 à Copenhague de leur capacité à relever le défi de la compétition avec les États-Unis et le Japon. Pour les uns, le modèle américain pr</w:t>
      </w:r>
      <w:r w:rsidRPr="00026D95">
        <w:t>é</w:t>
      </w:r>
      <w:r w:rsidRPr="00026D95">
        <w:t>sente un grand attrait alors qu'il inspire beaucoup de réserves aux a</w:t>
      </w:r>
      <w:r w:rsidRPr="00026D95">
        <w:t>u</w:t>
      </w:r>
      <w:r w:rsidRPr="00026D95">
        <w:t>tres.</w:t>
      </w:r>
      <w:r>
        <w:t> </w:t>
      </w:r>
      <w:r w:rsidRPr="00026D95">
        <w:rPr>
          <w:rStyle w:val="Appelnotedebasdep"/>
        </w:rPr>
        <w:footnoteReference w:id="24"/>
      </w:r>
    </w:p>
    <w:p w:rsidR="00F35523" w:rsidRDefault="00F35523" w:rsidP="00F35523">
      <w:pPr>
        <w:spacing w:before="120" w:after="120"/>
        <w:jc w:val="both"/>
      </w:pPr>
      <w:r w:rsidRPr="00026D95">
        <w:t>La notion de modèle américain fait référence à un système de r</w:t>
      </w:r>
      <w:r w:rsidRPr="00026D95">
        <w:t>è</w:t>
      </w:r>
      <w:r w:rsidRPr="00026D95">
        <w:t>gles et de normes qui allie un système décentralisé de relations de tr</w:t>
      </w:r>
      <w:r w:rsidRPr="00026D95">
        <w:t>a</w:t>
      </w:r>
      <w:r w:rsidRPr="00026D95">
        <w:t>vail et une protection sociale minimale, et pour lequel les politiques publiques depuis les années quatre-vingt ont surtout cherché à acce</w:t>
      </w:r>
      <w:r w:rsidRPr="00026D95">
        <w:t>n</w:t>
      </w:r>
      <w:r w:rsidRPr="00026D95">
        <w:t>tuer les traits permissifs à l'égard des entr</w:t>
      </w:r>
      <w:r w:rsidRPr="00026D95">
        <w:t>e</w:t>
      </w:r>
      <w:r w:rsidRPr="00026D95">
        <w:t>prises et des institutions financières. Ce système n'est pas pour autant exclusif aux États-Unis. Même s'ils y prennent une allure particulière, les traits repérés sont susceptibles de se manifester ailleurs. Le Canada, en particulier, qui part</w:t>
      </w:r>
      <w:r w:rsidRPr="00026D95">
        <w:t>a</w:t>
      </w:r>
      <w:r w:rsidRPr="00026D95">
        <w:t>ge avec les États-Unis non seulement un continent mais des liens de toute nature, dont depuis peu un accord de libre-échange, est so</w:t>
      </w:r>
      <w:r w:rsidRPr="00026D95">
        <w:t>u</w:t>
      </w:r>
      <w:r w:rsidRPr="00026D95">
        <w:t>vent associé à une même conception du développement.</w:t>
      </w:r>
    </w:p>
    <w:p w:rsidR="00F35523" w:rsidRDefault="00F35523" w:rsidP="00F35523">
      <w:pPr>
        <w:spacing w:before="120" w:after="120"/>
        <w:jc w:val="both"/>
      </w:pPr>
    </w:p>
    <w:p w:rsidR="00F35523" w:rsidRPr="00B3106F" w:rsidRDefault="00F35523" w:rsidP="00F35523">
      <w:pPr>
        <w:pStyle w:val="bb"/>
      </w:pPr>
      <w:r w:rsidRPr="00B3106F">
        <w:t>Les similitudes entre le Canada</w:t>
      </w:r>
      <w:r w:rsidRPr="00B3106F">
        <w:br/>
        <w:t>et les États-Unis</w:t>
      </w:r>
    </w:p>
    <w:p w:rsidR="00F35523" w:rsidRDefault="00F35523" w:rsidP="00F35523">
      <w:pPr>
        <w:spacing w:before="120" w:after="120"/>
        <w:jc w:val="both"/>
      </w:pPr>
    </w:p>
    <w:p w:rsidR="00F35523" w:rsidRDefault="00F35523" w:rsidP="00F35523">
      <w:pPr>
        <w:spacing w:before="120" w:after="120"/>
        <w:jc w:val="both"/>
      </w:pPr>
      <w:r w:rsidRPr="00026D95">
        <w:t>À distance, on peut parler d'un même type d’État-Providence pour le Canada et les États-Unis</w:t>
      </w:r>
      <w:r>
        <w:t> </w:t>
      </w:r>
      <w:r w:rsidRPr="00026D95">
        <w:rPr>
          <w:rStyle w:val="Appelnotedebasdep"/>
        </w:rPr>
        <w:footnoteReference w:id="25"/>
      </w:r>
      <w:r w:rsidRPr="00026D95">
        <w:t> ; mais, au-delà des similitudes entre ces deux pays, il faut plutôt prendre en considération les différences sign</w:t>
      </w:r>
      <w:r w:rsidRPr="00026D95">
        <w:t>i</w:t>
      </w:r>
      <w:r w:rsidRPr="00026D95">
        <w:t>ficatives, découlant de deux orientations quant à la définition de la protection sociale.</w:t>
      </w:r>
      <w:r>
        <w:t> </w:t>
      </w:r>
      <w:r w:rsidRPr="00026D95">
        <w:rPr>
          <w:rStyle w:val="Appelnotedebasdep"/>
        </w:rPr>
        <w:footnoteReference w:id="26"/>
      </w:r>
    </w:p>
    <w:p w:rsidR="00F35523" w:rsidRDefault="00F35523" w:rsidP="00F35523">
      <w:pPr>
        <w:spacing w:before="120" w:after="120"/>
        <w:jc w:val="both"/>
      </w:pPr>
      <w:r w:rsidRPr="00026D95">
        <w:t>Rappelons que le fardeau fiscal aux États-Unis est l'un des plus faibles des pays de l'OCDE, que les dépenses sociales y sont compar</w:t>
      </w:r>
      <w:r w:rsidRPr="00026D95">
        <w:t>a</w:t>
      </w:r>
      <w:r w:rsidRPr="00026D95">
        <w:t>tivement limitées, que le taux de syndicalisation est particulièrement [60] faible, que la productiv</w:t>
      </w:r>
      <w:r w:rsidRPr="00026D95">
        <w:t>i</w:t>
      </w:r>
      <w:r w:rsidRPr="00026D95">
        <w:t>té du travail progresse lentement, que les inégalités et le dualisme sociaux se sont fortement accentués et que les disparités sur le marché du travail peuvent être assez grandes.</w:t>
      </w:r>
      <w:r>
        <w:t> </w:t>
      </w:r>
      <w:r w:rsidRPr="00026D95">
        <w:rPr>
          <w:rStyle w:val="Appelnotedebasdep"/>
        </w:rPr>
        <w:footnoteReference w:id="27"/>
      </w:r>
      <w:r w:rsidRPr="00026D95">
        <w:t xml:space="preserve"> Le Canada semble, par comparaison, animé par des principes de solidar</w:t>
      </w:r>
      <w:r w:rsidRPr="00026D95">
        <w:t>i</w:t>
      </w:r>
      <w:r w:rsidRPr="00026D95">
        <w:t>té qui ont, malgré tout, infléchi le credo libéral-individualiste. La v</w:t>
      </w:r>
      <w:r w:rsidRPr="00026D95">
        <w:t>o</w:t>
      </w:r>
      <w:r w:rsidRPr="00026D95">
        <w:t>lonté de garantir une protection minimale a permis l'introduction de mes</w:t>
      </w:r>
      <w:r w:rsidRPr="00026D95">
        <w:t>u</w:t>
      </w:r>
      <w:r w:rsidRPr="00026D95">
        <w:t>res universelles dans la protection sociale, même si celle-ci est pensée d'abord en fonction d'une protection minimale pour les laissés-pour-compte.</w:t>
      </w:r>
    </w:p>
    <w:p w:rsidR="00F35523" w:rsidRDefault="00F35523" w:rsidP="00F35523">
      <w:pPr>
        <w:spacing w:before="120" w:after="120"/>
        <w:jc w:val="both"/>
      </w:pPr>
      <w:r w:rsidRPr="00026D95">
        <w:t>Aux États-Unis, la philosophie qui sous-tend l'État-providence r</w:t>
      </w:r>
      <w:r w:rsidRPr="00026D95">
        <w:t>e</w:t>
      </w:r>
      <w:r w:rsidRPr="00026D95">
        <w:t>pose sur l'individualisme économique et l'effort personnel ainsi que sur une préférence pour les solutions venant des forces du marché. Dans les domaines de la santé, des services sociaux et de la famille, les mécanismes de protection sont fra</w:t>
      </w:r>
      <w:r w:rsidRPr="00026D95">
        <w:t>g</w:t>
      </w:r>
      <w:r w:rsidRPr="00026D95">
        <w:t>mentés, diversifiés, incomplets et accordent une bonne place aux institutions privées.</w:t>
      </w:r>
      <w:r>
        <w:t> </w:t>
      </w:r>
      <w:r w:rsidRPr="00026D95">
        <w:rPr>
          <w:rStyle w:val="Appelnotedebasdep"/>
        </w:rPr>
        <w:footnoteReference w:id="28"/>
      </w:r>
      <w:r w:rsidRPr="00026D95">
        <w:t xml:space="preserve"> Dans le d</w:t>
      </w:r>
      <w:r w:rsidRPr="00026D95">
        <w:t>o</w:t>
      </w:r>
      <w:r w:rsidRPr="00026D95">
        <w:t xml:space="preserve">maine de l'assistance, </w:t>
      </w:r>
      <w:r>
        <w:t>l</w:t>
      </w:r>
      <w:r w:rsidRPr="00026D95">
        <w:t xml:space="preserve">’aide est destinée essentiellement aux groupes reconnus comme vulnérables. La distinction entre les pauvres « méritants » </w:t>
      </w:r>
      <w:r w:rsidRPr="00026D95">
        <w:rPr>
          <w:i/>
        </w:rPr>
        <w:t xml:space="preserve">(deserving poor) </w:t>
      </w:r>
      <w:r w:rsidRPr="00026D95">
        <w:t xml:space="preserve">et les pauvres « non méritants » </w:t>
      </w:r>
      <w:r w:rsidRPr="00026D95">
        <w:rPr>
          <w:i/>
        </w:rPr>
        <w:t>(und</w:t>
      </w:r>
      <w:r w:rsidRPr="00026D95">
        <w:rPr>
          <w:i/>
        </w:rPr>
        <w:t>e</w:t>
      </w:r>
      <w:r w:rsidRPr="00026D95">
        <w:rPr>
          <w:i/>
        </w:rPr>
        <w:t xml:space="preserve">serving poor) </w:t>
      </w:r>
      <w:r w:rsidRPr="00026D95">
        <w:t>reste la pierre angulaire de cet État-Providence minimal.</w:t>
      </w:r>
    </w:p>
    <w:p w:rsidR="00F35523" w:rsidRDefault="00F35523" w:rsidP="00F35523">
      <w:pPr>
        <w:spacing w:before="120" w:after="120"/>
        <w:jc w:val="both"/>
      </w:pPr>
      <w:r w:rsidRPr="00026D95">
        <w:t xml:space="preserve">Au Canada, </w:t>
      </w:r>
      <w:r>
        <w:t>l</w:t>
      </w:r>
      <w:r w:rsidRPr="00026D95">
        <w:t>’inspiration vient en partie de l'expérience britann</w:t>
      </w:r>
      <w:r w:rsidRPr="00026D95">
        <w:t>i</w:t>
      </w:r>
      <w:r w:rsidRPr="00026D95">
        <w:t>que, à la fois de la tradition des lois pour les pauvres et de l'influence beveridgienne. Les transferts aux individus passent tantôt par une a</w:t>
      </w:r>
      <w:r w:rsidRPr="00026D95">
        <w:t>l</w:t>
      </w:r>
      <w:r w:rsidRPr="00026D95">
        <w:t>location forfaitaire et universe</w:t>
      </w:r>
      <w:r w:rsidRPr="00026D95">
        <w:t>l</w:t>
      </w:r>
      <w:r w:rsidRPr="00026D95">
        <w:t>le, c'est le cas de la sécurité du revenu pour les personnes âgées ou des allocations familiales (jusqu'à r</w:t>
      </w:r>
      <w:r w:rsidRPr="00026D95">
        <w:t>é</w:t>
      </w:r>
      <w:r w:rsidRPr="00026D95">
        <w:t>cemment pour ces dernières), tantôt par la perspective d'assurer à tout individu un revenu minimal. Ainsi, des mesures d'assistance avec examens de ressources (sous forme de prestations pécuniaires ou de serv</w:t>
      </w:r>
      <w:r w:rsidRPr="00026D95">
        <w:t>i</w:t>
      </w:r>
      <w:r w:rsidRPr="00026D95">
        <w:t>ces) contribuent à assurer un filet de sécurité minimal.</w:t>
      </w:r>
      <w:r>
        <w:t> </w:t>
      </w:r>
      <w:r w:rsidRPr="00026D95">
        <w:rPr>
          <w:rStyle w:val="Appelnotedebasdep"/>
        </w:rPr>
        <w:footnoteReference w:id="29"/>
      </w:r>
    </w:p>
    <w:p w:rsidR="00F35523" w:rsidRPr="00026D95" w:rsidRDefault="00F35523" w:rsidP="00F35523">
      <w:pPr>
        <w:spacing w:before="120" w:after="120"/>
        <w:jc w:val="both"/>
      </w:pPr>
      <w:r w:rsidRPr="00026D95">
        <w:t>La décennie 1980 a été déterminante pour ce qui est de l’évolution de l'État-providence dans ces deux pays, même s'il n'y a pas de coï</w:t>
      </w:r>
      <w:r w:rsidRPr="00026D95">
        <w:t>n</w:t>
      </w:r>
      <w:r w:rsidRPr="00026D95">
        <w:t>cidence programmatique ou chronologique exacte dans les transfo</w:t>
      </w:r>
      <w:r w:rsidRPr="00026D95">
        <w:t>r</w:t>
      </w:r>
      <w:r w:rsidRPr="00026D95">
        <w:t>mations mises de l'avant. Le gouvernement fédéral au Canada défend une position conservatrice, mais de façon moins dogmatique qu'aux États-Unis ou en Grande-Bretagne. Les parall</w:t>
      </w:r>
      <w:r w:rsidRPr="00026D95">
        <w:t>è</w:t>
      </w:r>
      <w:r w:rsidRPr="00026D95">
        <w:t>les ne sont pas moins frappants.</w:t>
      </w:r>
    </w:p>
    <w:p w:rsidR="00F35523" w:rsidRPr="00026D95" w:rsidRDefault="00F35523" w:rsidP="00F35523">
      <w:pPr>
        <w:spacing w:before="120" w:after="120"/>
        <w:jc w:val="both"/>
      </w:pPr>
      <w:r w:rsidRPr="00026D95">
        <w:t>[61]</w:t>
      </w:r>
    </w:p>
    <w:p w:rsidR="00F35523" w:rsidRDefault="00F35523" w:rsidP="00F35523">
      <w:pPr>
        <w:spacing w:before="120" w:after="120"/>
        <w:jc w:val="both"/>
      </w:pPr>
      <w:r w:rsidRPr="00026D95">
        <w:t>Pour les personnes âgées, il ressort que, même si l'on pouvait considérer que la conjugaison des mécanismes de sécurité du revenu au Canada accordait une meilleure protection financière que la contrepartie américaine</w:t>
      </w:r>
      <w:r>
        <w:t> </w:t>
      </w:r>
      <w:r w:rsidRPr="00026D95">
        <w:rPr>
          <w:rStyle w:val="Appelnotedebasdep"/>
        </w:rPr>
        <w:footnoteReference w:id="30"/>
      </w:r>
      <w:r w:rsidRPr="00026D95">
        <w:t>, la précarité de la couverture offerte incite la population à avoir recours aux régimes de retraite privés. Toutefois, moins de la moitié de la population active contribue à un régime pr</w:t>
      </w:r>
      <w:r w:rsidRPr="00026D95">
        <w:t>o</w:t>
      </w:r>
      <w:r w:rsidRPr="00026D95">
        <w:t>fessionnel privé et l’accès à ces régimes traduit un effet de stratific</w:t>
      </w:r>
      <w:r w:rsidRPr="00026D95">
        <w:t>a</w:t>
      </w:r>
      <w:r w:rsidRPr="00026D95">
        <w:t>tion sociale prononcée.</w:t>
      </w:r>
      <w:r>
        <w:t> </w:t>
      </w:r>
      <w:r w:rsidRPr="00026D95">
        <w:rPr>
          <w:rStyle w:val="Appelnotedebasdep"/>
        </w:rPr>
        <w:footnoteReference w:id="31"/>
      </w:r>
    </w:p>
    <w:p w:rsidR="00F35523" w:rsidRDefault="00F35523" w:rsidP="00F35523">
      <w:pPr>
        <w:spacing w:before="120" w:after="120"/>
        <w:jc w:val="both"/>
      </w:pPr>
      <w:r w:rsidRPr="00026D95">
        <w:t>Dans un cas comme dans l'autre, alors que démographiquement la population âgée compte pour une part en pleine croissance, les instit</w:t>
      </w:r>
      <w:r w:rsidRPr="00026D95">
        <w:t>u</w:t>
      </w:r>
      <w:r w:rsidRPr="00026D95">
        <w:t>tions privées jouent et sont appelées à jouer dans l'avenir un rôle de plus en plus grand. La sécurité du revenu est ainsi amenée à répondre de façon encore plus marquée à une logique actuarielle individualisée c'est-à-dire à la durée, à la constance et à la qualité de l'insertion dé l'individu sur le marché du travail. Cette problématique réduit les e</w:t>
      </w:r>
      <w:r w:rsidRPr="00026D95">
        <w:t>f</w:t>
      </w:r>
      <w:r w:rsidRPr="00026D95">
        <w:t>fets de dé-marchandisation de la sécurité sociale pour les pe</w:t>
      </w:r>
      <w:r w:rsidRPr="00026D95">
        <w:t>r</w:t>
      </w:r>
      <w:r w:rsidRPr="00026D95">
        <w:t>sonnes âgées. Très accessibles aux personnes bien nanties et aux classes moyennes, les régimes privés recrutent également leurs cotisants pa</w:t>
      </w:r>
      <w:r w:rsidRPr="00026D95">
        <w:t>r</w:t>
      </w:r>
      <w:r w:rsidRPr="00026D95">
        <w:t>mi les travailleurs du secteur public et les travailleurs des grandes e</w:t>
      </w:r>
      <w:r w:rsidRPr="00026D95">
        <w:t>n</w:t>
      </w:r>
      <w:r w:rsidRPr="00026D95">
        <w:t>treprises ou protégés par une convention collective.</w:t>
      </w:r>
    </w:p>
    <w:p w:rsidR="00F35523" w:rsidRDefault="00F35523" w:rsidP="00F35523">
      <w:pPr>
        <w:spacing w:before="120" w:after="120"/>
        <w:jc w:val="both"/>
      </w:pPr>
      <w:r w:rsidRPr="00026D95">
        <w:t>Par ailleurs, une partie non négligeable de la sécurité du revenu pour les pe</w:t>
      </w:r>
      <w:r w:rsidRPr="00026D95">
        <w:t>r</w:t>
      </w:r>
      <w:r w:rsidRPr="00026D95">
        <w:t>sonnes âgées au Canada est acheminée vers la population pauvre. Ces mesures, même cumulatives, arrivent difficilement à a</w:t>
      </w:r>
      <w:r w:rsidRPr="00026D95">
        <w:t>s</w:t>
      </w:r>
      <w:r w:rsidRPr="00026D95">
        <w:t>surer un revenu suffisant pour hi</w:t>
      </w:r>
      <w:r w:rsidRPr="00026D95">
        <w:t>s</w:t>
      </w:r>
      <w:r w:rsidRPr="00026D95">
        <w:t>ser le bénéficiaire au-dessus du seuil de pauvreté.</w:t>
      </w:r>
      <w:r>
        <w:t> </w:t>
      </w:r>
      <w:r w:rsidRPr="00026D95">
        <w:rPr>
          <w:rStyle w:val="Appelnotedebasdep"/>
        </w:rPr>
        <w:footnoteReference w:id="32"/>
      </w:r>
      <w:r w:rsidRPr="00026D95">
        <w:t xml:space="preserve"> Le poids des mesures sélectives à l'égard des perso</w:t>
      </w:r>
      <w:r w:rsidRPr="00026D95">
        <w:t>n</w:t>
      </w:r>
      <w:r w:rsidRPr="00026D95">
        <w:t>nes pauvres est atténué par la présence d'allocations universelles, mais il est possible de s'interroger sur l'avenir de cette mesure un</w:t>
      </w:r>
      <w:r w:rsidRPr="00026D95">
        <w:t>i</w:t>
      </w:r>
      <w:r w:rsidRPr="00026D95">
        <w:t>verselle. Si elle devait suivre le même parcours que les allocations familiales, elle serait appelée à disparaître au profit d'une mesure fiscalisée basée sur un examen de ressources.</w:t>
      </w:r>
    </w:p>
    <w:p w:rsidR="00F35523" w:rsidRPr="00026D95" w:rsidRDefault="00F35523" w:rsidP="00F35523">
      <w:pPr>
        <w:spacing w:before="120" w:after="120"/>
        <w:jc w:val="both"/>
      </w:pPr>
      <w:r w:rsidRPr="00026D95">
        <w:t>En ce qui concerne les sans-emploi, la première ligne de défense réside dans l'assurance-chômage. Cette mesure a également connu une évolution qui va dans le sens de l'accentuation de la marchandisation. Déjà, le niveau de prote</w:t>
      </w:r>
      <w:r w:rsidRPr="00026D95">
        <w:t>c</w:t>
      </w:r>
      <w:r w:rsidRPr="00026D95">
        <w:t>tion était relativement modeste — encore plus [61] aux États-Unis qu'au Can</w:t>
      </w:r>
      <w:r w:rsidRPr="00026D95">
        <w:t>a</w:t>
      </w:r>
      <w:r w:rsidRPr="00026D95">
        <w:t>da il va sans dire —, mais on s'est en outre appliqué à accentuer la sanction p</w:t>
      </w:r>
      <w:r w:rsidRPr="00026D95">
        <w:t>é</w:t>
      </w:r>
      <w:r w:rsidRPr="00026D95">
        <w:t>cuniaire liée à une perte d'emploi.</w:t>
      </w:r>
    </w:p>
    <w:p w:rsidR="00F35523" w:rsidRDefault="00F35523" w:rsidP="00F35523">
      <w:pPr>
        <w:spacing w:before="120" w:after="120"/>
        <w:jc w:val="both"/>
      </w:pPr>
      <w:r w:rsidRPr="00026D95">
        <w:t>Cette accentuation s'est manifestée aux États-Unis par un gliss</w:t>
      </w:r>
      <w:r w:rsidRPr="00026D95">
        <w:t>e</w:t>
      </w:r>
      <w:r w:rsidRPr="00026D95">
        <w:t>ment du n</w:t>
      </w:r>
      <w:r w:rsidRPr="00026D95">
        <w:t>i</w:t>
      </w:r>
      <w:r w:rsidRPr="00026D95">
        <w:t>veau, déjà très bas, de remplacement du revenu (de 37,5% du salaire moyen en 1980 à 35,4% en 1989) par le resserrement des conditions d'admission au rég</w:t>
      </w:r>
      <w:r w:rsidRPr="00026D95">
        <w:t>i</w:t>
      </w:r>
      <w:r w:rsidRPr="00026D95">
        <w:t>me (seulement 31,1</w:t>
      </w:r>
      <w:r>
        <w:t>%</w:t>
      </w:r>
      <w:r w:rsidRPr="00026D95">
        <w:t xml:space="preserve"> des chômeurs touchent une prestation en 1988, contre 43,9</w:t>
      </w:r>
      <w:r>
        <w:t>%</w:t>
      </w:r>
      <w:r w:rsidRPr="00026D95">
        <w:t xml:space="preserve"> en 1980) ainsi que par une réduction de la période de prestations (de 14,9 semaines en 1980 à 13,3 en 1989 ).</w:t>
      </w:r>
      <w:r>
        <w:t> </w:t>
      </w:r>
      <w:r w:rsidRPr="00026D95">
        <w:rPr>
          <w:rStyle w:val="Appelnotedebasdep"/>
        </w:rPr>
        <w:footnoteReference w:id="33"/>
      </w:r>
      <w:r w:rsidRPr="00026D95">
        <w:t xml:space="preserve"> Au Canada, le régime d'assurance-chômage a connu plusieurs modifications depuis la deuxième moitié des années soixa</w:t>
      </w:r>
      <w:r w:rsidRPr="00026D95">
        <w:t>n</w:t>
      </w:r>
      <w:r w:rsidRPr="00026D95">
        <w:t>te-dix et une réforme majeure en 1990, puis encore ces deux dernières années.</w:t>
      </w:r>
      <w:r>
        <w:t> </w:t>
      </w:r>
      <w:r w:rsidRPr="00026D95">
        <w:rPr>
          <w:rStyle w:val="Appelnotedebasdep"/>
        </w:rPr>
        <w:footnoteReference w:id="34"/>
      </w:r>
      <w:r w:rsidRPr="00026D95">
        <w:t xml:space="preserve"> Les conditions lices à l'admissibilité au régime sont plus s</w:t>
      </w:r>
      <w:r w:rsidRPr="00026D95">
        <w:t>é</w:t>
      </w:r>
      <w:r w:rsidRPr="00026D95">
        <w:t>vères, le taux de couverture a diminué et la durée des prestations est réduite Des pénal</w:t>
      </w:r>
      <w:r w:rsidRPr="00026D95">
        <w:t>i</w:t>
      </w:r>
      <w:r w:rsidRPr="00026D95">
        <w:t>tés plus lourdes sont aussi appliquées aux personnes qui quittent leur emploi sans motif valable. Enfin, le taux de cotisation augmente, dans la mesure où les prestations sont désormais entièr</w:t>
      </w:r>
      <w:r w:rsidRPr="00026D95">
        <w:t>e</w:t>
      </w:r>
      <w:r w:rsidRPr="00026D95">
        <w:t>ment financées par les cotisations des e</w:t>
      </w:r>
      <w:r w:rsidRPr="00026D95">
        <w:t>m</w:t>
      </w:r>
      <w:r w:rsidRPr="00026D95">
        <w:t>ployeurs et des employés.</w:t>
      </w:r>
    </w:p>
    <w:p w:rsidR="00F35523" w:rsidRDefault="00F35523" w:rsidP="00F35523">
      <w:pPr>
        <w:spacing w:before="120" w:after="120"/>
        <w:jc w:val="both"/>
      </w:pPr>
      <w:r w:rsidRPr="00026D95">
        <w:t>Sur l'ensemble de ces questions, il existe un écart entre le Canada et les États-Unis, à la faveur du premier — même depuis 1990 —, mais il reste que les deux régimes fournissent une protection assez limitée si on les compare avec ceux de certains pays européens. Les deux régimes avec des délais différents, s'adressent au chômage de relativement courte durée. Autrement, les chômeurs sont exclus et n'ont comme solution que le recours à l'assistance sociale qui o</w:t>
      </w:r>
      <w:r w:rsidRPr="00026D95">
        <w:t>f</w:t>
      </w:r>
      <w:r w:rsidRPr="00026D95">
        <w:t>fre un niveau de protection encore plus précaire.</w:t>
      </w:r>
    </w:p>
    <w:p w:rsidR="00F35523" w:rsidRPr="00026D95" w:rsidRDefault="00F35523" w:rsidP="00F35523">
      <w:pPr>
        <w:spacing w:before="120" w:after="120"/>
        <w:jc w:val="both"/>
      </w:pPr>
      <w:r w:rsidRPr="00026D95">
        <w:t>Avec la crise et la croissance du chômage de longue durée, le d</w:t>
      </w:r>
      <w:r w:rsidRPr="00026D95">
        <w:t>é</w:t>
      </w:r>
      <w:r w:rsidRPr="00026D95">
        <w:t>versement des travailleurs en chômage dans la clientèle de l'assistance sociale est venu modifier les pratiques dans ce domaine. La réponse de part et d'autre a une base plutôt idéologique, prenant la théorie de l'offre comme cadre de référence à une précarisation financière des bénéficiaires et à la mise en œuvre de mécanismes d'incitation au tr</w:t>
      </w:r>
      <w:r w:rsidRPr="00026D95">
        <w:t>a</w:t>
      </w:r>
      <w:r w:rsidRPr="00026D95">
        <w:t>vail.</w:t>
      </w:r>
    </w:p>
    <w:p w:rsidR="00F35523" w:rsidRPr="00026D95" w:rsidRDefault="00F35523" w:rsidP="00F35523">
      <w:pPr>
        <w:spacing w:before="120" w:after="120"/>
        <w:jc w:val="both"/>
      </w:pPr>
      <w:r w:rsidRPr="00026D95">
        <w:t>[63]</w:t>
      </w:r>
    </w:p>
    <w:p w:rsidR="00F35523" w:rsidRDefault="00F35523" w:rsidP="00F35523">
      <w:pPr>
        <w:spacing w:before="120" w:after="120"/>
        <w:jc w:val="both"/>
      </w:pPr>
      <w:r w:rsidRPr="00026D95">
        <w:t xml:space="preserve">Aux États-Unis, le système </w:t>
      </w:r>
      <w:r w:rsidRPr="00026D95">
        <w:rPr>
          <w:i/>
        </w:rPr>
        <w:t>(Assistance to Families with Depe</w:t>
      </w:r>
      <w:r w:rsidRPr="00026D95">
        <w:rPr>
          <w:i/>
        </w:rPr>
        <w:t>n</w:t>
      </w:r>
      <w:r w:rsidRPr="00026D95">
        <w:rPr>
          <w:i/>
        </w:rPr>
        <w:t xml:space="preserve">dent Children) </w:t>
      </w:r>
      <w:r w:rsidRPr="00026D95">
        <w:t>était prévu pour les pauvres méritants ; comme au C</w:t>
      </w:r>
      <w:r w:rsidRPr="00026D95">
        <w:t>a</w:t>
      </w:r>
      <w:r w:rsidRPr="00026D95">
        <w:t>nada (Régime d'assistance publique), il avait été conçu pour les pe</w:t>
      </w:r>
      <w:r w:rsidRPr="00026D95">
        <w:t>r</w:t>
      </w:r>
      <w:r w:rsidRPr="00026D95">
        <w:t>sonnes inaptes au travail. La politique américaine est allée dans le sens du rejet, autant que faire se peut, des pauvres non méritants, c'est-à-dire les individus aptes au travail qui n'ont pas à dépendre de l'État. Dans cette optique, les conditions d'admissibilité ont été re</w:t>
      </w:r>
      <w:r w:rsidRPr="00026D95">
        <w:t>s</w:t>
      </w:r>
      <w:r w:rsidRPr="00026D95">
        <w:t>serrées (notamment par la réduction du montant admissible des avoirs pe</w:t>
      </w:r>
      <w:r w:rsidRPr="00026D95">
        <w:t>r</w:t>
      </w:r>
      <w:r w:rsidRPr="00026D95">
        <w:t>sonnels), la valeur réelle des prestations a décliné et on a introduit — et on compte intensifier le mouvement — les principes de l'« inévitabilité » de l'effort de tr</w:t>
      </w:r>
      <w:r w:rsidRPr="00026D95">
        <w:t>a</w:t>
      </w:r>
      <w:r w:rsidRPr="00026D95">
        <w:t>vail.</w:t>
      </w:r>
      <w:r>
        <w:t> </w:t>
      </w:r>
      <w:r w:rsidRPr="00026D95">
        <w:rPr>
          <w:rStyle w:val="Appelnotedebasdep"/>
        </w:rPr>
        <w:footnoteReference w:id="35"/>
      </w:r>
      <w:r w:rsidRPr="00026D95">
        <w:t xml:space="preserve"> Les coupons d'alimentation ont aussi fait l'objet de compressions, les dépenses à ce titre ont stagné au cours des années quatre-vingt et la valeur réelle des coupons a connu une baisse. Si l'on considère la valeur réelle de l'assistance s</w:t>
      </w:r>
      <w:r w:rsidRPr="00026D95">
        <w:t>o</w:t>
      </w:r>
      <w:r w:rsidRPr="00026D95">
        <w:t>ciale et des coupons, on peut parler d'une diminution de 19</w:t>
      </w:r>
      <w:r>
        <w:t>%</w:t>
      </w:r>
      <w:r w:rsidRPr="00026D95">
        <w:t xml:space="preserve"> entre 1977 et 1988.</w:t>
      </w:r>
    </w:p>
    <w:p w:rsidR="00F35523" w:rsidRDefault="00F35523" w:rsidP="00F35523">
      <w:pPr>
        <w:spacing w:before="120" w:after="120"/>
        <w:jc w:val="both"/>
      </w:pPr>
      <w:r w:rsidRPr="00026D95">
        <w:t>Au Canada, la distinction entre les personnes aptes au travail et les perso</w:t>
      </w:r>
      <w:r w:rsidRPr="00026D95">
        <w:t>n</w:t>
      </w:r>
      <w:r w:rsidRPr="00026D95">
        <w:t>nes inaptes a pris tout son sens et elle a été investie d'un projet de remise au tr</w:t>
      </w:r>
      <w:r w:rsidRPr="00026D95">
        <w:t>a</w:t>
      </w:r>
      <w:r w:rsidRPr="00026D95">
        <w:t>vail. À partir de cette distinction, on a eu tendance à traiter diversement les b</w:t>
      </w:r>
      <w:r w:rsidRPr="00026D95">
        <w:t>é</w:t>
      </w:r>
      <w:r w:rsidRPr="00026D95">
        <w:t>néficiaires, d'une part, en fixant un niveau de couverture différencié et, d'autre part, en mettant en place des filières d'encadrement et de formation pour les personnes aptes au travail. Un réseau de gestion sociale des sans-emploi a pris forme dans certaines provinces.</w:t>
      </w:r>
      <w:r>
        <w:t> </w:t>
      </w:r>
      <w:r w:rsidRPr="00026D95">
        <w:rPr>
          <w:rStyle w:val="Appelnotedebasdep"/>
        </w:rPr>
        <w:footnoteReference w:id="36"/>
      </w:r>
      <w:r w:rsidRPr="00026D95">
        <w:t xml:space="preserve"> On remarque que l'incitation à l'insertion sur le marché du travail reste la sanction pécuniaire et que, d'une façon générale, le niveau des prestations, par rapport au seuil de pauvreté, a été maint</w:t>
      </w:r>
      <w:r w:rsidRPr="00026D95">
        <w:t>e</w:t>
      </w:r>
      <w:r w:rsidRPr="00026D95">
        <w:t>nu assez bas (en moyenne en 1991, pour une personne seule apte au travail : 41</w:t>
      </w:r>
      <w:r>
        <w:t>%</w:t>
      </w:r>
      <w:r w:rsidRPr="00026D95">
        <w:t>).</w:t>
      </w:r>
      <w:r>
        <w:t> </w:t>
      </w:r>
      <w:r w:rsidRPr="00026D95">
        <w:rPr>
          <w:rStyle w:val="Appelnotedebasdep"/>
        </w:rPr>
        <w:footnoteReference w:id="37"/>
      </w:r>
      <w:r w:rsidRPr="00026D95">
        <w:t xml:space="preserve"> On constate une différence entre les provinces can</w:t>
      </w:r>
      <w:r w:rsidRPr="00026D95">
        <w:t>a</w:t>
      </w:r>
      <w:r w:rsidRPr="00026D95">
        <w:t>diennes, mais dans une fourchette qui reste étroite. Les surveilla</w:t>
      </w:r>
      <w:r w:rsidRPr="00026D95">
        <w:t>n</w:t>
      </w:r>
      <w:r w:rsidRPr="00026D95">
        <w:t>ces, vérifications et tracasseries administratives font aussi partie de la p</w:t>
      </w:r>
      <w:r w:rsidRPr="00026D95">
        <w:t>a</w:t>
      </w:r>
      <w:r w:rsidRPr="00026D95">
        <w:t>noplie des moyens de lutte contre les préte</w:t>
      </w:r>
      <w:r w:rsidRPr="00026D95">
        <w:t>n</w:t>
      </w:r>
      <w:r w:rsidRPr="00026D95">
        <w:t>dues fraudes.</w:t>
      </w:r>
      <w:r>
        <w:t> </w:t>
      </w:r>
      <w:r w:rsidRPr="00026D95">
        <w:rPr>
          <w:rStyle w:val="Appelnotedebasdep"/>
        </w:rPr>
        <w:footnoteReference w:id="38"/>
      </w:r>
    </w:p>
    <w:p w:rsidR="00F35523" w:rsidRDefault="00F35523" w:rsidP="00F35523">
      <w:pPr>
        <w:spacing w:before="120" w:after="120"/>
        <w:jc w:val="both"/>
      </w:pPr>
      <w:r w:rsidRPr="00026D95">
        <w:t>D'une façon explicite, la logique de la marchandisation de la force de travail a présidé aux révisions et aux resserrements effectués au cours de la période étudiée. D'ailleurs, au Canada, de plus en plus de provinces ont commencé à subventionner le salaire minimum, en a</w:t>
      </w:r>
      <w:r w:rsidRPr="00026D95">
        <w:t>c</w:t>
      </w:r>
      <w:r w:rsidRPr="00026D95">
        <w:t>cordant [64] un supplément de revenu au travailleur pauvre compte tenu de sa charge familiale, afin de maintenir l'i</w:t>
      </w:r>
      <w:r w:rsidRPr="00026D95">
        <w:t>n</w:t>
      </w:r>
      <w:r w:rsidRPr="00026D95">
        <w:t>citation au travail dans des conditions médiocres. Il existe, pour les sans-emploi, deux stades dans l'application du principe de la marchandisation, l’assurance-chômage et l'assistance sociale, qui vont dans le sens de l'aggravation de la sanction pécuniaire, le deuxième est plus stigmat</w:t>
      </w:r>
      <w:r w:rsidRPr="00026D95">
        <w:t>i</w:t>
      </w:r>
      <w:r w:rsidRPr="00026D95">
        <w:t>sant, non lié à la relation d'emploi, mais s'ouvre sur des filières d'e</w:t>
      </w:r>
      <w:r w:rsidRPr="00026D95">
        <w:t>n</w:t>
      </w:r>
      <w:r w:rsidRPr="00026D95">
        <w:t>cadrement social et de remise au travail dont le centre de référence est le marché du travail au salaire min</w:t>
      </w:r>
      <w:r w:rsidRPr="00026D95">
        <w:t>i</w:t>
      </w:r>
      <w:r w:rsidRPr="00026D95">
        <w:t>mum.</w:t>
      </w:r>
      <w:r>
        <w:t> </w:t>
      </w:r>
      <w:r w:rsidRPr="00026D95">
        <w:rPr>
          <w:rStyle w:val="Appelnotedebasdep"/>
        </w:rPr>
        <w:footnoteReference w:id="39"/>
      </w:r>
    </w:p>
    <w:p w:rsidR="00F35523" w:rsidRDefault="00F35523" w:rsidP="00F35523">
      <w:pPr>
        <w:spacing w:before="120" w:after="120"/>
        <w:jc w:val="both"/>
      </w:pPr>
    </w:p>
    <w:p w:rsidR="00F35523" w:rsidRPr="00B3106F" w:rsidRDefault="00F35523" w:rsidP="00F35523">
      <w:pPr>
        <w:pStyle w:val="bb"/>
      </w:pPr>
      <w:r w:rsidRPr="00B3106F">
        <w:t>Harmonisation et continentalisation</w:t>
      </w:r>
    </w:p>
    <w:p w:rsidR="00F35523" w:rsidRDefault="00F35523" w:rsidP="00F35523">
      <w:pPr>
        <w:spacing w:before="120" w:after="120"/>
        <w:jc w:val="both"/>
      </w:pPr>
    </w:p>
    <w:p w:rsidR="00F35523" w:rsidRDefault="00F35523" w:rsidP="00F35523">
      <w:pPr>
        <w:spacing w:before="120" w:after="120"/>
        <w:jc w:val="both"/>
      </w:pPr>
      <w:r w:rsidRPr="00026D95">
        <w:t>Ce qui ressort pour le Canada, c'est que la révision de la protection sociale a été entamée bien avant l'Accord de libre-échange et a a</w:t>
      </w:r>
      <w:r w:rsidRPr="00026D95">
        <w:t>c</w:t>
      </w:r>
      <w:r w:rsidRPr="00026D95">
        <w:t>compagné sa mise en vigueur. À titre d'exemples,</w:t>
      </w:r>
      <w:r>
        <w:t> </w:t>
      </w:r>
      <w:r w:rsidRPr="00026D95">
        <w:rPr>
          <w:rStyle w:val="Appelnotedebasdep"/>
        </w:rPr>
        <w:footnoteReference w:id="40"/>
      </w:r>
      <w:r w:rsidRPr="00026D95">
        <w:t xml:space="preserve"> on peut noter : la désindexation des allocations familiales et des crédits d'impôt pour enfant, puis la transformation des alloc</w:t>
      </w:r>
      <w:r w:rsidRPr="00026D95">
        <w:t>a</w:t>
      </w:r>
      <w:r w:rsidRPr="00026D95">
        <w:t>tions familiales universelles en un système basé sur le revenu ; l’introduction d'une dimension conditionnelle et punitive dans l'accès à l'aide sociale afin d'appuyer l'« incitation au travail » et l'« employabilité » ; une réforme de l'ass</w:t>
      </w:r>
      <w:r w:rsidRPr="00026D95">
        <w:t>u</w:t>
      </w:r>
      <w:r w:rsidRPr="00026D95">
        <w:t>rance-chômage restrictive relativement à l'admissibilité et la durée des prestations ; la récupération fiscale des prestations universelles de s</w:t>
      </w:r>
      <w:r w:rsidRPr="00026D95">
        <w:t>é</w:t>
      </w:r>
      <w:r w:rsidRPr="00026D95">
        <w:t>curité du revenu pour personnes âgées et l'encouragement à l'exte</w:t>
      </w:r>
      <w:r w:rsidRPr="00026D95">
        <w:t>n</w:t>
      </w:r>
      <w:r w:rsidRPr="00026D95">
        <w:t>sion de la participation des mécanismes privés au système de pension pour personnes âgées. À cela s'ajoute une politique fiscale qui co</w:t>
      </w:r>
      <w:r w:rsidRPr="00026D95">
        <w:t>m</w:t>
      </w:r>
      <w:r w:rsidRPr="00026D95">
        <w:t>porte plusieurs mesures régressives.</w:t>
      </w:r>
      <w:r>
        <w:t> </w:t>
      </w:r>
      <w:r w:rsidRPr="00026D95">
        <w:rPr>
          <w:rStyle w:val="Appelnotedebasdep"/>
        </w:rPr>
        <w:footnoteReference w:id="41"/>
      </w:r>
    </w:p>
    <w:p w:rsidR="00F35523" w:rsidRDefault="00F35523" w:rsidP="00F35523">
      <w:pPr>
        <w:spacing w:before="120" w:after="120"/>
        <w:jc w:val="both"/>
      </w:pPr>
      <w:r w:rsidRPr="00026D95">
        <w:t>Bien entendu l'élimination des barrières tarifaires et (pour l'esse</w:t>
      </w:r>
      <w:r w:rsidRPr="00026D95">
        <w:t>n</w:t>
      </w:r>
      <w:r w:rsidRPr="00026D95">
        <w:t>tiel) des barrières non tarifaires avec l'ALENA s'inscrit dans un mo</w:t>
      </w:r>
      <w:r w:rsidRPr="00026D95">
        <w:t>u</w:t>
      </w:r>
      <w:r w:rsidRPr="00026D95">
        <w:t>vement de fond d'i</w:t>
      </w:r>
      <w:r w:rsidRPr="00026D95">
        <w:t>n</w:t>
      </w:r>
      <w:r w:rsidRPr="00026D95">
        <w:t>tégration des économies canadienne et américaine. Ce mouvement, qui fait partie de l'histoire contemporaine, connaît une poussée supplémentaire, pour ne pas dire décisive. La comparaison devient [65] ainsi de rigueur, en ce qui concerne tant les conditions générales dans lesquelles se mènent les affaires que les contraintes touchant les relations de travail, la productivité du travail, le poids r</w:t>
      </w:r>
      <w:r w:rsidRPr="00026D95">
        <w:t>e</w:t>
      </w:r>
      <w:r w:rsidRPr="00026D95">
        <w:t>latif de la ponction fiscale, les contributions obligatoires ou la distr</w:t>
      </w:r>
      <w:r w:rsidRPr="00026D95">
        <w:t>i</w:t>
      </w:r>
      <w:r w:rsidRPr="00026D95">
        <w:t>bution des revenus.</w:t>
      </w:r>
    </w:p>
    <w:p w:rsidR="00F35523" w:rsidRDefault="00F35523" w:rsidP="00F35523">
      <w:pPr>
        <w:spacing w:before="120" w:after="120"/>
        <w:jc w:val="both"/>
      </w:pPr>
      <w:r w:rsidRPr="00026D95">
        <w:t>Or, compte tenu du poids des États-Unis dans l'économie mondi</w:t>
      </w:r>
      <w:r w:rsidRPr="00026D95">
        <w:t>a</w:t>
      </w:r>
      <w:r w:rsidRPr="00026D95">
        <w:t>le, et particulièrement continentale, et, sur le plan interne, des bloc</w:t>
      </w:r>
      <w:r w:rsidRPr="00026D95">
        <w:t>a</w:t>
      </w:r>
      <w:r w:rsidRPr="00026D95">
        <w:t>ges institutionnels, de la force de représentation des intérêts catég</w:t>
      </w:r>
      <w:r w:rsidRPr="00026D95">
        <w:t>o</w:t>
      </w:r>
      <w:r w:rsidRPr="00026D95">
        <w:t>riels et de la culture politique qui ont freiné l'évolution des conve</w:t>
      </w:r>
      <w:r w:rsidRPr="00026D95">
        <w:t>n</w:t>
      </w:r>
      <w:r w:rsidRPr="00026D95">
        <w:t>tions sociales comprises en tant que droits co</w:t>
      </w:r>
      <w:r w:rsidRPr="00026D95">
        <w:t>l</w:t>
      </w:r>
      <w:r w:rsidRPr="00026D95">
        <w:t>lectifs et mécanismes de solidarité sociale, l'harmonisation risque de se traduire par un lamin</w:t>
      </w:r>
      <w:r w:rsidRPr="00026D95">
        <w:t>a</w:t>
      </w:r>
      <w:r w:rsidRPr="00026D95">
        <w:t>ge des droits sociaux inscrits dans les programmes de protection s</w:t>
      </w:r>
      <w:r w:rsidRPr="00026D95">
        <w:t>o</w:t>
      </w:r>
      <w:r w:rsidRPr="00026D95">
        <w:t>ciale au Canada et d'agir comme éteignoir en ce qui touche les vellé</w:t>
      </w:r>
      <w:r w:rsidRPr="00026D95">
        <w:t>i</w:t>
      </w:r>
      <w:r w:rsidRPr="00026D95">
        <w:t>tés d'e</w:t>
      </w:r>
      <w:r w:rsidRPr="00026D95">
        <w:t>x</w:t>
      </w:r>
      <w:r w:rsidRPr="00026D95">
        <w:t>tension de ces mêmes droits sociaux.</w:t>
      </w:r>
    </w:p>
    <w:p w:rsidR="00F35523" w:rsidRDefault="00F35523" w:rsidP="00F35523">
      <w:pPr>
        <w:spacing w:before="120" w:after="120"/>
        <w:jc w:val="both"/>
      </w:pPr>
      <w:r w:rsidRPr="00026D95">
        <w:t>En tout état de cause, les modifications apportées aux programmes ampl</w:t>
      </w:r>
      <w:r w:rsidRPr="00026D95">
        <w:t>i</w:t>
      </w:r>
      <w:r w:rsidRPr="00026D95">
        <w:t>fient les traits associés à l'État-providence libéral, que ce soit au chapitre de la dé-marchandisation ou de la stratification sociale.</w:t>
      </w:r>
    </w:p>
    <w:p w:rsidR="00F35523" w:rsidRDefault="00F35523" w:rsidP="00F35523">
      <w:pPr>
        <w:spacing w:before="120" w:after="120"/>
        <w:jc w:val="both"/>
      </w:pPr>
    </w:p>
    <w:p w:rsidR="00F35523" w:rsidRPr="00026D95" w:rsidRDefault="00F35523" w:rsidP="00F35523">
      <w:pPr>
        <w:spacing w:before="120" w:after="120"/>
        <w:jc w:val="both"/>
      </w:pPr>
    </w:p>
    <w:p w:rsidR="00F35523" w:rsidRPr="00B3106F" w:rsidRDefault="00F35523" w:rsidP="00F35523">
      <w:pPr>
        <w:pStyle w:val="bb"/>
      </w:pPr>
      <w:r w:rsidRPr="00B3106F">
        <w:t>La Grande-Bretagne :</w:t>
      </w:r>
      <w:r w:rsidRPr="00B3106F">
        <w:br/>
        <w:t>la filière anglo-saxonne</w:t>
      </w:r>
    </w:p>
    <w:p w:rsidR="00F35523" w:rsidRDefault="00F35523" w:rsidP="00F35523">
      <w:pPr>
        <w:spacing w:before="120" w:after="120"/>
        <w:jc w:val="both"/>
      </w:pPr>
    </w:p>
    <w:p w:rsidR="00F35523" w:rsidRDefault="00F35523" w:rsidP="00F35523">
      <w:pPr>
        <w:spacing w:before="120" w:after="120"/>
        <w:jc w:val="both"/>
      </w:pPr>
      <w:r w:rsidRPr="00026D95">
        <w:t>La tendance est la même en Grande-Bretagne au cours de cette p</w:t>
      </w:r>
      <w:r w:rsidRPr="00026D95">
        <w:t>é</w:t>
      </w:r>
      <w:r w:rsidRPr="00026D95">
        <w:t>riode, ce qui nous porte à croire qu'il s'agit là moins d'un phénomène d'ordre continental que d'une évolution qui s'inscrit dans la foulée des arbitrages antérieurs de ces pays et des formes institutionnelles que l'on y connaît. Il y a peut-être moins lieu de parler d'un modèle nord-américain que d'un modèle anglo-saxon. Avant d'en arriver là, il est utile de rappeler certaines mesures du thatchérisme.</w:t>
      </w:r>
    </w:p>
    <w:p w:rsidR="00F35523" w:rsidRDefault="00F35523" w:rsidP="00F35523">
      <w:pPr>
        <w:spacing w:before="120" w:after="120"/>
        <w:jc w:val="both"/>
      </w:pPr>
      <w:r w:rsidRPr="00026D95">
        <w:t>En Grande-Bretagne, la protection sociale n'a pas été modifiée de fond en comble, mais des changements significatifs ont été intr</w:t>
      </w:r>
      <w:r w:rsidRPr="00026D95">
        <w:t>o</w:t>
      </w:r>
      <w:r w:rsidRPr="00026D95">
        <w:t>duits.</w:t>
      </w:r>
      <w:r>
        <w:t> </w:t>
      </w:r>
      <w:r w:rsidRPr="00026D95">
        <w:rPr>
          <w:rStyle w:val="Appelnotedebasdep"/>
        </w:rPr>
        <w:footnoteReference w:id="42"/>
      </w:r>
      <w:r w:rsidRPr="00026D95">
        <w:t xml:space="preserve"> La responsab</w:t>
      </w:r>
      <w:r w:rsidRPr="00026D95">
        <w:t>i</w:t>
      </w:r>
      <w:r w:rsidRPr="00026D95">
        <w:t>lité publique en matière de protection sociale a été amoindrie par le biais de la promotion des mécanismes marchands et du recours aux intervenants privés. L'inégalité sociale a été compr</w:t>
      </w:r>
      <w:r w:rsidRPr="00026D95">
        <w:t>i</w:t>
      </w:r>
      <w:r w:rsidRPr="00026D95">
        <w:t>se de manière positive et non plus comme un effet indésirable contre lequel il fallait lutter. D'ailleurs, on note une certaine convergence quant à la façon de considérer la pauvreté aux États-Unis et en Gra</w:t>
      </w:r>
      <w:r w:rsidRPr="00026D95">
        <w:t>n</w:t>
      </w:r>
      <w:r w:rsidRPr="00026D95">
        <w:t>de-Bretagne ; de part et d'autre, celle-ci est associée beaucoup plus à une dégénérescence morale qu'à une carence sociale.</w:t>
      </w:r>
      <w:r>
        <w:t> </w:t>
      </w:r>
      <w:r w:rsidRPr="00026D95">
        <w:rPr>
          <w:rStyle w:val="Appelnotedebasdep"/>
        </w:rPr>
        <w:footnoteReference w:id="43"/>
      </w:r>
      <w:r w:rsidRPr="00026D95">
        <w:t xml:space="preserve"> Cela dit, s'il y a recul de la responsabilité publique à l'égard de la pauvreté, du ch</w:t>
      </w:r>
      <w:r w:rsidRPr="00026D95">
        <w:t>ô</w:t>
      </w:r>
      <w:r w:rsidRPr="00026D95">
        <w:t>mage ou des « risques [66] sociaux », il n'y a pas pour autant retrait de l'État au regard de sa capacité d'intervenir auprès des populations par des mesures de contrôle, par des contraintes ou autrement.</w:t>
      </w:r>
    </w:p>
    <w:p w:rsidR="00F35523" w:rsidRDefault="00F35523" w:rsidP="00F35523">
      <w:pPr>
        <w:spacing w:before="120" w:after="120"/>
        <w:jc w:val="both"/>
      </w:pPr>
      <w:r w:rsidRPr="00026D95">
        <w:t>Au-delà de l'évolution des dépenses publiques pour la protection sociale, dont le rythme de croissance a été rompu, il importe de rendre compte de cha</w:t>
      </w:r>
      <w:r w:rsidRPr="00026D95">
        <w:t>n</w:t>
      </w:r>
      <w:r w:rsidRPr="00026D95">
        <w:t>gements significatifs. Par exemple, pour les chômeurs de longue durée, l’érosion des droits sociaux et la mise en place de mesures de surveillance sont de rigueur. Le resserrement des cond</w:t>
      </w:r>
      <w:r w:rsidRPr="00026D95">
        <w:t>i</w:t>
      </w:r>
      <w:r w:rsidRPr="00026D95">
        <w:t>tions d'admissibilité à la sécurité du rev</w:t>
      </w:r>
      <w:r w:rsidRPr="00026D95">
        <w:t>e</w:t>
      </w:r>
      <w:r w:rsidRPr="00026D95">
        <w:t>nu sont renforcées, alors que, parallèlement, les contrôles concernant la reche</w:t>
      </w:r>
      <w:r w:rsidRPr="00026D95">
        <w:t>r</w:t>
      </w:r>
      <w:r w:rsidRPr="00026D95">
        <w:t>che d'emploi ont été accrus et le droit de refuser un emploi inadéquat nettement restreint. L'orientation est la même concernant les mesures de sécurité sociale, comme le salaire minimum et l'aide sociale pour les jeunes de vingt-cinq ans et moins.</w:t>
      </w:r>
      <w:r>
        <w:t> </w:t>
      </w:r>
      <w:r w:rsidRPr="00026D95">
        <w:rPr>
          <w:rStyle w:val="Appelnotedebasdep"/>
        </w:rPr>
        <w:footnoteReference w:id="44"/>
      </w:r>
    </w:p>
    <w:p w:rsidR="00F35523" w:rsidRDefault="00F35523" w:rsidP="00F35523">
      <w:pPr>
        <w:spacing w:before="120" w:after="120"/>
        <w:jc w:val="both"/>
      </w:pPr>
      <w:r w:rsidRPr="00026D95">
        <w:t>Considérant le chômage comme une responsabilité d'abord indiv</w:t>
      </w:r>
      <w:r w:rsidRPr="00026D95">
        <w:t>i</w:t>
      </w:r>
      <w:r w:rsidRPr="00026D95">
        <w:t>duelle et stigmatisant la « culture de la dépendance » à l'égard de l'État, le gouvernement entreprend de changer le comportement des chômeurs par la réduction des droits ou par leur subordination à des conditions, comme la prestation de travail ou l'insertion dans un pr</w:t>
      </w:r>
      <w:r w:rsidRPr="00026D95">
        <w:t>o</w:t>
      </w:r>
      <w:r w:rsidRPr="00026D95">
        <w:t>cessus de valorisation de l'employabilité. L'admissibilité à des prest</w:t>
      </w:r>
      <w:r w:rsidRPr="00026D95">
        <w:t>a</w:t>
      </w:r>
      <w:r w:rsidRPr="00026D95">
        <w:t>tions est liée à l'engagement dans un programme de form</w:t>
      </w:r>
      <w:r w:rsidRPr="00026D95">
        <w:t>a</w:t>
      </w:r>
      <w:r w:rsidRPr="00026D95">
        <w:t>tion.</w:t>
      </w:r>
      <w:r>
        <w:t> </w:t>
      </w:r>
      <w:r w:rsidRPr="00026D95">
        <w:rPr>
          <w:rStyle w:val="Appelnotedebasdep"/>
        </w:rPr>
        <w:footnoteReference w:id="45"/>
      </w:r>
      <w:r w:rsidRPr="00026D95">
        <w:t xml:space="preserve"> Les initiatives britanniques ont beaucoup emprunté à l'exemple amér</w:t>
      </w:r>
      <w:r w:rsidRPr="00026D95">
        <w:t>i</w:t>
      </w:r>
      <w:r w:rsidRPr="00026D95">
        <w:t>cain. Comme nous le verrons plus loin, le Canada participe à cette même mouvance. Ainsi, prestations sociales et prestations de travail en vie</w:t>
      </w:r>
      <w:r w:rsidRPr="00026D95">
        <w:t>n</w:t>
      </w:r>
      <w:r w:rsidRPr="00026D95">
        <w:t>nent progress</w:t>
      </w:r>
      <w:r w:rsidRPr="00026D95">
        <w:t>i</w:t>
      </w:r>
      <w:r w:rsidRPr="00026D95">
        <w:t>vement à être intégrées.</w:t>
      </w:r>
    </w:p>
    <w:p w:rsidR="00F35523" w:rsidRDefault="00F35523" w:rsidP="00F35523">
      <w:pPr>
        <w:spacing w:before="120" w:after="120"/>
        <w:jc w:val="both"/>
      </w:pPr>
      <w:r w:rsidRPr="00026D95">
        <w:t>À la fin des années quatre-vingt, la Loi sur la sécurité sociale mat</w:t>
      </w:r>
      <w:r w:rsidRPr="00026D95">
        <w:t>é</w:t>
      </w:r>
      <w:r w:rsidRPr="00026D95">
        <w:t>rialise bien la stratégie visant à réduire, privatiser et déréglementer les mesures bav</w:t>
      </w:r>
      <w:r w:rsidRPr="00026D95">
        <w:t>e</w:t>
      </w:r>
      <w:r w:rsidRPr="00026D95">
        <w:t>ridgiennes de sécurité du revenu, ce qui se traduit, pour le régime de pension des employés de l'État, par une réduction des prestations pour ceux qui pre</w:t>
      </w:r>
      <w:r w:rsidRPr="00026D95">
        <w:t>n</w:t>
      </w:r>
      <w:r w:rsidRPr="00026D95">
        <w:t>dront leur retraite après 1998 et par la promotion d'un système privatisé de pension individuelle. La privat</w:t>
      </w:r>
      <w:r w:rsidRPr="00026D95">
        <w:t>i</w:t>
      </w:r>
      <w:r w:rsidRPr="00026D95">
        <w:t>sation est aussi très présente dans la politique to</w:t>
      </w:r>
      <w:r w:rsidRPr="00026D95">
        <w:t>u</w:t>
      </w:r>
      <w:r w:rsidRPr="00026D95">
        <w:t>chant l'habitation et l'éducation.</w:t>
      </w:r>
      <w:r>
        <w:t> </w:t>
      </w:r>
      <w:r w:rsidRPr="00026D95">
        <w:rPr>
          <w:rStyle w:val="Appelnotedebasdep"/>
        </w:rPr>
        <w:footnoteReference w:id="46"/>
      </w:r>
      <w:r w:rsidRPr="00026D95">
        <w:t xml:space="preserve"> La comparaison avec des pays comme la France, l'A</w:t>
      </w:r>
      <w:r w:rsidRPr="00026D95">
        <w:t>l</w:t>
      </w:r>
      <w:r w:rsidRPr="00026D95">
        <w:t>lemagne et la Suède, montre bien que les États-Unis et la Grande-Bretagne ont été [67] particulièrement actifs au cours des années qu</w:t>
      </w:r>
      <w:r w:rsidRPr="00026D95">
        <w:t>a</w:t>
      </w:r>
      <w:r w:rsidRPr="00026D95">
        <w:t>tre-vingt sur le chapitre de la réduction de la protection sociale, alors que déjà ils ne se signalaient pas par leur avant-gardisme.</w:t>
      </w:r>
    </w:p>
    <w:p w:rsidR="00F35523" w:rsidRDefault="00F35523" w:rsidP="00F35523">
      <w:pPr>
        <w:spacing w:before="120" w:after="120"/>
        <w:jc w:val="both"/>
      </w:pPr>
    </w:p>
    <w:p w:rsidR="00F35523" w:rsidRDefault="00F35523" w:rsidP="00F35523">
      <w:pPr>
        <w:spacing w:before="120" w:after="120"/>
        <w:jc w:val="both"/>
      </w:pPr>
    </w:p>
    <w:p w:rsidR="00F35523" w:rsidRPr="00B3106F" w:rsidRDefault="00F35523" w:rsidP="00F35523">
      <w:pPr>
        <w:pStyle w:val="bb"/>
      </w:pPr>
      <w:r w:rsidRPr="00B3106F">
        <w:t>Une stratégie défensiv</w:t>
      </w:r>
      <w:r>
        <w:t>e de transformation</w:t>
      </w:r>
      <w:r>
        <w:br/>
      </w:r>
      <w:r w:rsidRPr="00B3106F">
        <w:t>du rapport salarial</w:t>
      </w:r>
    </w:p>
    <w:p w:rsidR="00F35523" w:rsidRDefault="00F35523" w:rsidP="00F35523">
      <w:pPr>
        <w:spacing w:before="120" w:after="120"/>
        <w:jc w:val="both"/>
      </w:pPr>
    </w:p>
    <w:p w:rsidR="00F35523" w:rsidRDefault="00F35523" w:rsidP="00F35523">
      <w:pPr>
        <w:spacing w:before="120" w:after="120"/>
        <w:jc w:val="both"/>
      </w:pPr>
      <w:r w:rsidRPr="00026D95">
        <w:t>Les</w:t>
      </w:r>
      <w:r w:rsidRPr="00026D95">
        <w:rPr>
          <w:b/>
        </w:rPr>
        <w:t xml:space="preserve"> </w:t>
      </w:r>
      <w:r w:rsidRPr="00026D95">
        <w:t>États-Unis, le Canada et la Grande-Bretagne partagent une configuration institutionnelle du fordisme que l'on peut qualifier su</w:t>
      </w:r>
      <w:r w:rsidRPr="00026D95">
        <w:t>i</w:t>
      </w:r>
      <w:r w:rsidRPr="00026D95">
        <w:t>vant une échelle s'éte</w:t>
      </w:r>
      <w:r w:rsidRPr="00026D95">
        <w:t>n</w:t>
      </w:r>
      <w:r w:rsidRPr="00026D95">
        <w:t>dant du libéralisme à une hégémonie centriste ; de même, ils témoignent d'une conception libérale de l'État-providence.</w:t>
      </w:r>
      <w:r>
        <w:t> </w:t>
      </w:r>
      <w:r w:rsidRPr="00026D95">
        <w:rPr>
          <w:rStyle w:val="Appelnotedebasdep"/>
        </w:rPr>
        <w:footnoteReference w:id="47"/>
      </w:r>
      <w:r w:rsidRPr="00026D95">
        <w:t xml:space="preserve"> Ces caractéristiques composent un cadre qui favorise une stratégie de flexibilité défensive dans la restructuration du rapport salarial propre à cette période de crise du fordisme.</w:t>
      </w:r>
      <w:r>
        <w:t> </w:t>
      </w:r>
      <w:r w:rsidRPr="00026D95">
        <w:rPr>
          <w:rStyle w:val="Appelnotedebasdep"/>
        </w:rPr>
        <w:footnoteReference w:id="48"/>
      </w:r>
      <w:r w:rsidRPr="00026D95">
        <w:t xml:space="preserve"> La coalition des forces sociales et politiques qui avait permis le fordisme et l’État-Providence libéral a glissé d'une manière plus ou moins brutale vers une vision politique conservatrice et néo-libérale des transformations à venir, à la fois dans la sphère du travail et dans celle de l'interve</w:t>
      </w:r>
      <w:r w:rsidRPr="00026D95">
        <w:t>n</w:t>
      </w:r>
      <w:r w:rsidRPr="00026D95">
        <w:t>tion publique en matière sociale.</w:t>
      </w:r>
    </w:p>
    <w:p w:rsidR="00F35523" w:rsidRDefault="00F35523" w:rsidP="00F35523">
      <w:pPr>
        <w:spacing w:before="120" w:after="120"/>
        <w:jc w:val="both"/>
      </w:pPr>
      <w:r w:rsidRPr="00026D95">
        <w:t>Au début des années quatre-vingt-dix, après une douzaine d'années de lib</w:t>
      </w:r>
      <w:r w:rsidRPr="00026D95">
        <w:t>é</w:t>
      </w:r>
      <w:r w:rsidRPr="00026D95">
        <w:t>ralisme économique, une série de constats s'imposent de plus en plus pour les États-Unis comme pour le Canada et la Grande-Bretagne. Dans le domaine du travail, la stratégie adoptée mise sur la lutte contre les rigidités de la relation de travail pour défendre les marchés menacés, sur les bas coûts de la main-d’oeuvre et sur le tr</w:t>
      </w:r>
      <w:r w:rsidRPr="00026D95">
        <w:t>a</w:t>
      </w:r>
      <w:r w:rsidRPr="00026D95">
        <w:t>vail déqualifié. Cette stratégie défensive</w:t>
      </w:r>
      <w:r>
        <w:t> </w:t>
      </w:r>
      <w:r w:rsidRPr="00026D95">
        <w:rPr>
          <w:rStyle w:val="Appelnotedebasdep"/>
        </w:rPr>
        <w:footnoteReference w:id="49"/>
      </w:r>
      <w:r w:rsidRPr="00026D95">
        <w:t xml:space="preserve"> conduit l’industrie à fav</w:t>
      </w:r>
      <w:r w:rsidRPr="00026D95">
        <w:t>o</w:t>
      </w:r>
      <w:r w:rsidRPr="00026D95">
        <w:t xml:space="preserve">riser le </w:t>
      </w:r>
      <w:r w:rsidRPr="00026D95">
        <w:rPr>
          <w:i/>
        </w:rPr>
        <w:t xml:space="preserve">dumping </w:t>
      </w:r>
      <w:r w:rsidRPr="00026D95">
        <w:t>social au sein même de l'espace national ou la déloc</w:t>
      </w:r>
      <w:r w:rsidRPr="00026D95">
        <w:t>a</w:t>
      </w:r>
      <w:r w:rsidRPr="00026D95">
        <w:t>lisation vers des terres d'accueil pour les bas salaires et la faible qual</w:t>
      </w:r>
      <w:r w:rsidRPr="00026D95">
        <w:t>i</w:t>
      </w:r>
      <w:r w:rsidRPr="00026D95">
        <w:t>fic</w:t>
      </w:r>
      <w:r w:rsidRPr="00026D95">
        <w:t>a</w:t>
      </w:r>
      <w:r w:rsidRPr="00026D95">
        <w:t>tion.</w:t>
      </w:r>
    </w:p>
    <w:p w:rsidR="00F35523" w:rsidRDefault="00F35523" w:rsidP="00F35523">
      <w:pPr>
        <w:spacing w:before="120" w:after="120"/>
        <w:jc w:val="both"/>
      </w:pPr>
      <w:r w:rsidRPr="00026D95">
        <w:t>On assiste à une reconsidération significative de l'action de l'État à l'égard du marché. Cette action s'inscrit désormais dans une logique de subordination à l'égard du marché et de stimulation de sa sanction. Il ne s'agit pas de laisser le marché à lui-même, mais de doser ou de [68] restructurer les interventions de l'État de manière qu'elles intériorisent les impératifs marchands et qu'elles fav</w:t>
      </w:r>
      <w:r w:rsidRPr="00026D95">
        <w:t>o</w:t>
      </w:r>
      <w:r w:rsidRPr="00026D95">
        <w:t>risent les manifestations de sa sanction sur les populations concernées. Notamment, en posant la di</w:t>
      </w:r>
      <w:r w:rsidRPr="00026D95">
        <w:t>a</w:t>
      </w:r>
      <w:r w:rsidRPr="00026D95">
        <w:t>lectique à l'égard du marché dans les termes de subordination/ stim</w:t>
      </w:r>
      <w:r w:rsidRPr="00026D95">
        <w:t>u</w:t>
      </w:r>
      <w:r w:rsidRPr="00026D95">
        <w:t>lation de sa sanction, les chômeurs, les sans-emploi pour une longue période, les bénéficiaires de mécanismes de transferts sont suscept</w:t>
      </w:r>
      <w:r w:rsidRPr="00026D95">
        <w:t>i</w:t>
      </w:r>
      <w:r w:rsidRPr="00026D95">
        <w:t>bles d'être davantage saisis comme « sous-classe parasitaire ». D'où le renforcement des dispositifs de contrôle social et de normalisation des pratiques de ces popul</w:t>
      </w:r>
      <w:r w:rsidRPr="00026D95">
        <w:t>a</w:t>
      </w:r>
      <w:r w:rsidRPr="00026D95">
        <w:t>tions, qui ne sont pas disciplinées par le travail rémunéré.</w:t>
      </w:r>
      <w:r>
        <w:t> </w:t>
      </w:r>
      <w:r w:rsidRPr="00026D95">
        <w:rPr>
          <w:rStyle w:val="Appelnotedebasdep"/>
        </w:rPr>
        <w:footnoteReference w:id="50"/>
      </w:r>
    </w:p>
    <w:p w:rsidR="00F35523" w:rsidRDefault="00F35523" w:rsidP="00F35523">
      <w:pPr>
        <w:spacing w:before="120" w:after="120"/>
        <w:jc w:val="both"/>
      </w:pPr>
      <w:r w:rsidRPr="00026D95">
        <w:t>Les changements mis en oeuvre peuvent apparaître comme une restructur</w:t>
      </w:r>
      <w:r w:rsidRPr="00026D95">
        <w:t>a</w:t>
      </w:r>
      <w:r w:rsidRPr="00026D95">
        <w:t>tion plutôt que comme un bouleversement du système de protection sociale. Les changements introduits épousent en effet la logique de base de l'État-providence libéral de laquelle on avait pu, pour un temps, s'éloigner quelque peu. La valor</w:t>
      </w:r>
      <w:r w:rsidRPr="00026D95">
        <w:t>i</w:t>
      </w:r>
      <w:r w:rsidRPr="00026D95">
        <w:t>sation des principes de précarisation ou de logique marchande n'est pas contre nature pour ce type d’État-Providence. Elle fait cependant reculer les mécani</w:t>
      </w:r>
      <w:r w:rsidRPr="00026D95">
        <w:t>s</w:t>
      </w:r>
      <w:r w:rsidRPr="00026D95">
        <w:t>mes qu'avaient inspiré les principes de solidarité et d'universalité, principes qui avaient eu une certaine prise au Canada et en Grande-Bretagne.</w:t>
      </w:r>
    </w:p>
    <w:p w:rsidR="00F35523" w:rsidRPr="00026D95" w:rsidRDefault="00F35523" w:rsidP="00F35523">
      <w:pPr>
        <w:spacing w:before="120" w:after="120"/>
        <w:jc w:val="both"/>
      </w:pPr>
      <w:r w:rsidRPr="00026D95">
        <w:t>Ainsi, la protection sociale s'inscrit-elle ici dans un environnement beaucoup plus vaste et pour lequel le « scénario libéral et dual »</w:t>
      </w:r>
      <w:r>
        <w:t> </w:t>
      </w:r>
      <w:r w:rsidRPr="00B3106F">
        <w:rPr>
          <w:rStyle w:val="Appelnotedebasdep"/>
        </w:rPr>
        <w:footnoteReference w:id="51"/>
      </w:r>
      <w:r w:rsidRPr="00026D95">
        <w:t xml:space="preserve"> semble devoir s'imposer malgré l'opposition des forces sociales et p</w:t>
      </w:r>
      <w:r w:rsidRPr="00026D95">
        <w:t>o</w:t>
      </w:r>
      <w:r w:rsidRPr="00026D95">
        <w:t>litiques de gauche. Tout en y participant, la restructuration de la pr</w:t>
      </w:r>
      <w:r w:rsidRPr="00026D95">
        <w:t>o</w:t>
      </w:r>
      <w:r w:rsidRPr="00026D95">
        <w:t>tection sociale vient confirmer et renfo</w:t>
      </w:r>
      <w:r w:rsidRPr="00026D95">
        <w:t>r</w:t>
      </w:r>
      <w:r w:rsidRPr="00026D95">
        <w:t>cer une stratégie défensive et décentralisée de transformation du rapport sal</w:t>
      </w:r>
      <w:r w:rsidRPr="00026D95">
        <w:t>a</w:t>
      </w:r>
      <w:r w:rsidRPr="00026D95">
        <w:t>rial</w:t>
      </w:r>
      <w:r>
        <w:t> </w:t>
      </w:r>
      <w:r w:rsidRPr="00026D95">
        <w:rPr>
          <w:rStyle w:val="Appelnotedebasdep"/>
        </w:rPr>
        <w:footnoteReference w:id="52"/>
      </w:r>
      <w:r w:rsidRPr="00026D95">
        <w:t>, et cette stratégie s'appuie d'abord sur la coalition des forces sociales et politiques d</w:t>
      </w:r>
      <w:r w:rsidRPr="00026D95">
        <w:t>o</w:t>
      </w:r>
      <w:r w:rsidRPr="00026D95">
        <w:t>minantes et sur la vision que ces dernières ont à la fois de leurs int</w:t>
      </w:r>
      <w:r w:rsidRPr="00026D95">
        <w:t>é</w:t>
      </w:r>
      <w:r w:rsidRPr="00026D95">
        <w:t>rêts économiques et des modalités d'insertion du pays dans l'espace cont</w:t>
      </w:r>
      <w:r w:rsidRPr="00026D95">
        <w:t>i</w:t>
      </w:r>
      <w:r w:rsidRPr="00026D95">
        <w:t>nental, voire mondial.</w:t>
      </w:r>
    </w:p>
    <w:p w:rsidR="00F35523" w:rsidRDefault="00F35523" w:rsidP="00F35523">
      <w:pPr>
        <w:spacing w:before="120" w:after="120"/>
        <w:jc w:val="both"/>
      </w:pPr>
      <w:r w:rsidRPr="00026D95">
        <w:t>[69]</w:t>
      </w:r>
    </w:p>
    <w:p w:rsidR="00F35523" w:rsidRDefault="00F35523" w:rsidP="00F35523">
      <w:pPr>
        <w:spacing w:before="120" w:after="120"/>
        <w:jc w:val="both"/>
      </w:pPr>
    </w:p>
    <w:p w:rsidR="00F35523" w:rsidRDefault="00F35523" w:rsidP="00F35523">
      <w:pPr>
        <w:pStyle w:val="aa"/>
      </w:pPr>
      <w:bookmarkStart w:id="5" w:name="Restructuration_3"/>
      <w:r w:rsidRPr="00026D95">
        <w:t>Intégration ou fractionnement en Europe</w:t>
      </w:r>
    </w:p>
    <w:bookmarkEnd w:id="5"/>
    <w:p w:rsidR="00F35523" w:rsidRDefault="00F35523" w:rsidP="00F35523">
      <w:pPr>
        <w:spacing w:before="120" w:after="120"/>
        <w:jc w:val="both"/>
      </w:pPr>
    </w:p>
    <w:p w:rsidR="00F35523" w:rsidRPr="00384B20" w:rsidRDefault="00F35523" w:rsidP="00F35523">
      <w:pPr>
        <w:ind w:right="90" w:firstLine="0"/>
        <w:jc w:val="both"/>
        <w:rPr>
          <w:sz w:val="20"/>
        </w:rPr>
      </w:pPr>
      <w:hyperlink w:anchor="tdm" w:history="1">
        <w:r w:rsidRPr="00384B20">
          <w:rPr>
            <w:rStyle w:val="Lienhypertexte"/>
            <w:sz w:val="20"/>
          </w:rPr>
          <w:t>Retour à la table des matières</w:t>
        </w:r>
      </w:hyperlink>
    </w:p>
    <w:p w:rsidR="00F35523" w:rsidRDefault="00F35523" w:rsidP="00F35523">
      <w:pPr>
        <w:spacing w:before="120" w:after="120"/>
        <w:jc w:val="both"/>
      </w:pPr>
      <w:r w:rsidRPr="00026D95">
        <w:t>Comparativement aux principaux pays européens, c'est en Grande-Bretagne que les changements institutionnels ont été les plus impo</w:t>
      </w:r>
      <w:r w:rsidRPr="00026D95">
        <w:t>r</w:t>
      </w:r>
      <w:r w:rsidRPr="00026D95">
        <w:t>tants et ont le plus contribué à éroder le système de protection soci</w:t>
      </w:r>
      <w:r w:rsidRPr="00026D95">
        <w:t>a</w:t>
      </w:r>
      <w:r w:rsidRPr="00026D95">
        <w:t>le.</w:t>
      </w:r>
      <w:r>
        <w:t> </w:t>
      </w:r>
      <w:r w:rsidRPr="00026D95">
        <w:rPr>
          <w:rStyle w:val="Appelnotedebasdep"/>
        </w:rPr>
        <w:footnoteReference w:id="53"/>
      </w:r>
      <w:r w:rsidRPr="00026D95">
        <w:t xml:space="preserve"> À la fin des années qu</w:t>
      </w:r>
      <w:r w:rsidRPr="00026D95">
        <w:t>a</w:t>
      </w:r>
      <w:r w:rsidRPr="00026D95">
        <w:t>tre-vingt, le rapport entre les dépenses de protection sociale et le PNB britann</w:t>
      </w:r>
      <w:r w:rsidRPr="00026D95">
        <w:t>i</w:t>
      </w:r>
      <w:r w:rsidRPr="00026D95">
        <w:t>que était inférieur à celui calculé pour les autres pays de la Communauté eur</w:t>
      </w:r>
      <w:r w:rsidRPr="00026D95">
        <w:t>o</w:t>
      </w:r>
      <w:r w:rsidRPr="00026D95">
        <w:t>péenne, exception faite des pays du « croissant latin » — ces derniers suivant un parcours i</w:t>
      </w:r>
      <w:r w:rsidRPr="00026D95">
        <w:t>n</w:t>
      </w:r>
      <w:r w:rsidRPr="00026D95">
        <w:t>verse.</w:t>
      </w:r>
      <w:r>
        <w:t> </w:t>
      </w:r>
      <w:r w:rsidRPr="00026D95">
        <w:rPr>
          <w:rStyle w:val="Appelnotedebasdep"/>
        </w:rPr>
        <w:footnoteReference w:id="54"/>
      </w:r>
      <w:r w:rsidRPr="00026D95">
        <w:t xml:space="preserve"> De plus, la Grande-Bretagne s'est dissociée de la Charte s</w:t>
      </w:r>
      <w:r w:rsidRPr="00026D95">
        <w:t>o</w:t>
      </w:r>
      <w:r w:rsidRPr="00026D95">
        <w:t>ciale européenne. Manifestations isolées ou comportement d'un tro</w:t>
      </w:r>
      <w:r w:rsidRPr="00026D95">
        <w:t>u</w:t>
      </w:r>
      <w:r w:rsidRPr="00026D95">
        <w:t xml:space="preserve">ble-fête capable de jouer les </w:t>
      </w:r>
      <w:r w:rsidRPr="00026D95">
        <w:rPr>
          <w:i/>
        </w:rPr>
        <w:t xml:space="preserve">outsiders </w:t>
      </w:r>
      <w:r w:rsidRPr="00026D95">
        <w:t>dans la compétition internati</w:t>
      </w:r>
      <w:r w:rsidRPr="00026D95">
        <w:t>o</w:t>
      </w:r>
      <w:r w:rsidRPr="00026D95">
        <w:t>nale ?</w:t>
      </w:r>
    </w:p>
    <w:p w:rsidR="00F35523" w:rsidRDefault="00F35523" w:rsidP="00F35523">
      <w:pPr>
        <w:spacing w:before="120" w:after="120"/>
        <w:jc w:val="both"/>
      </w:pPr>
      <w:r w:rsidRPr="00026D95">
        <w:t>On sait qu'il n'y a pas de lien nécessaire entre une faible compétit</w:t>
      </w:r>
      <w:r w:rsidRPr="00026D95">
        <w:t>i</w:t>
      </w:r>
      <w:r w:rsidRPr="00026D95">
        <w:t xml:space="preserve">vité et une protection sociale développée, que la Charte sociale pourra sans doute limiter les pratiques de </w:t>
      </w:r>
      <w:r w:rsidRPr="00026D95">
        <w:rPr>
          <w:i/>
        </w:rPr>
        <w:t xml:space="preserve">dumping </w:t>
      </w:r>
      <w:r w:rsidRPr="00026D95">
        <w:t>social et que le choix de localisation des entreprises en Europe est d'abord fonction de la pr</w:t>
      </w:r>
      <w:r w:rsidRPr="00026D95">
        <w:t>o</w:t>
      </w:r>
      <w:r w:rsidRPr="00026D95">
        <w:t>ductivité et non du coût du travail.</w:t>
      </w:r>
      <w:r>
        <w:t> </w:t>
      </w:r>
      <w:r w:rsidRPr="00026D95">
        <w:rPr>
          <w:rStyle w:val="Appelnotedebasdep"/>
        </w:rPr>
        <w:footnoteReference w:id="55"/>
      </w:r>
      <w:r w:rsidRPr="00026D95">
        <w:t xml:space="preserve"> Il n'en demeure pas moins qu'il est tout à fait plausible de considérer que les sy</w:t>
      </w:r>
      <w:r w:rsidRPr="00026D95">
        <w:t>s</w:t>
      </w:r>
      <w:r w:rsidRPr="00026D95">
        <w:t>tèmes de protection sociale peuvent faire l'objet de pression à la baisse dans le cours d'une plus grande compétition européenne.</w:t>
      </w:r>
    </w:p>
    <w:p w:rsidR="00F35523" w:rsidRDefault="00F35523" w:rsidP="00F35523">
      <w:pPr>
        <w:spacing w:before="120" w:after="120"/>
        <w:jc w:val="both"/>
      </w:pPr>
      <w:r w:rsidRPr="00026D95">
        <w:t>L'exemple de la Grande-Bretagne peut jouer ce rôle (pensons aux investi</w:t>
      </w:r>
      <w:r w:rsidRPr="00026D95">
        <w:t>s</w:t>
      </w:r>
      <w:r w:rsidRPr="00026D95">
        <w:t>sements des firmes de l'Asie du Sud-Est, qui se servent de ce pays comme d'un tremplin pour accéder à l'Europe),</w:t>
      </w:r>
      <w:r>
        <w:t> </w:t>
      </w:r>
      <w:r w:rsidRPr="00026D95">
        <w:rPr>
          <w:rStyle w:val="Appelnotedebasdep"/>
        </w:rPr>
        <w:footnoteReference w:id="56"/>
      </w:r>
      <w:r w:rsidRPr="00026D95">
        <w:t xml:space="preserve"> d'autant qu'elle est appuyée par les autres pays proches du modèle libéral, dont les États-Unis.</w:t>
      </w:r>
      <w:r>
        <w:t> </w:t>
      </w:r>
      <w:r w:rsidRPr="00026D95">
        <w:rPr>
          <w:rStyle w:val="Appelnotedebasdep"/>
        </w:rPr>
        <w:footnoteReference w:id="57"/>
      </w:r>
      <w:r w:rsidRPr="00026D95">
        <w:t xml:space="preserve"> Devant les enjeux liés à la protection sociale, ce modèle peut ne pas être plus efficace, mais il demeure moins coûteux fina</w:t>
      </w:r>
      <w:r w:rsidRPr="00026D95">
        <w:t>n</w:t>
      </w:r>
      <w:r w:rsidRPr="00026D95">
        <w:t>cièrement et moins contraignant pour les entreprises. On peut légit</w:t>
      </w:r>
      <w:r w:rsidRPr="00026D95">
        <w:t>i</w:t>
      </w:r>
      <w:r w:rsidRPr="00026D95">
        <w:t>mement se poser la question de l'évolution présumée des systèmes de protection sociale dans une Europe qui connaît une intégration éc</w:t>
      </w:r>
      <w:r w:rsidRPr="00026D95">
        <w:t>o</w:t>
      </w:r>
      <w:r w:rsidRPr="00026D95">
        <w:t>nomique et politique plus poussée et une institutionnalisation plus i</w:t>
      </w:r>
      <w:r w:rsidRPr="00026D95">
        <w:t>n</w:t>
      </w:r>
      <w:r w:rsidRPr="00026D95">
        <w:t>tense qu'en Amérique du Nord. Les enjeux que l'on peut évoquer se posent cependant en d'autres te</w:t>
      </w:r>
      <w:r w:rsidRPr="00026D95">
        <w:t>r</w:t>
      </w:r>
      <w:r w:rsidRPr="00026D95">
        <w:t>mes. Ici la discussion met en présence des États, des institutions communauta</w:t>
      </w:r>
      <w:r w:rsidRPr="00026D95">
        <w:t>i</w:t>
      </w:r>
      <w:r w:rsidRPr="00026D95">
        <w:t>res ayant une capacité [70] d'initiative et des configurations de formes instit</w:t>
      </w:r>
      <w:r w:rsidRPr="00026D95">
        <w:t>u</w:t>
      </w:r>
      <w:r w:rsidRPr="00026D95">
        <w:t>tionnelles nationales différenciées.</w:t>
      </w:r>
    </w:p>
    <w:p w:rsidR="00F35523" w:rsidRDefault="00F35523" w:rsidP="00F35523">
      <w:pPr>
        <w:spacing w:before="120" w:after="120"/>
        <w:jc w:val="both"/>
      </w:pPr>
    </w:p>
    <w:p w:rsidR="00F35523" w:rsidRPr="00B3106F" w:rsidRDefault="00F35523" w:rsidP="00F35523">
      <w:pPr>
        <w:pStyle w:val="bb"/>
      </w:pPr>
      <w:r w:rsidRPr="00B3106F">
        <w:t>L'intégration de la protection sociale</w:t>
      </w:r>
      <w:r w:rsidRPr="00B3106F">
        <w:br/>
        <w:t>est-elle à l'ordre du jour ?</w:t>
      </w:r>
    </w:p>
    <w:p w:rsidR="00F35523" w:rsidRDefault="00F35523" w:rsidP="00F35523">
      <w:pPr>
        <w:spacing w:before="120" w:after="120"/>
        <w:jc w:val="both"/>
      </w:pPr>
    </w:p>
    <w:p w:rsidR="00F35523" w:rsidRDefault="00F35523" w:rsidP="00F35523">
      <w:pPr>
        <w:spacing w:before="120" w:after="120"/>
        <w:jc w:val="both"/>
      </w:pPr>
      <w:r w:rsidRPr="00026D95">
        <w:t>L'expression la plus visible de la place de la dimension sociale dans la con</w:t>
      </w:r>
      <w:r w:rsidRPr="00026D95">
        <w:t>s</w:t>
      </w:r>
      <w:r w:rsidRPr="00026D95">
        <w:t>truction du Marché unique est sans doute l'adoption de la Charte sociale. Il s'agit d'une reconnaissance solennelle de droits s</w:t>
      </w:r>
      <w:r w:rsidRPr="00026D95">
        <w:t>o</w:t>
      </w:r>
      <w:r w:rsidRPr="00026D95">
        <w:t>ciaux fondamentaux qui sont associés d'abord à la condition de tr</w:t>
      </w:r>
      <w:r w:rsidRPr="00026D95">
        <w:t>a</w:t>
      </w:r>
      <w:r w:rsidRPr="00026D95">
        <w:t>vailleur et non à la citoyenneté, même si l'on reconnaît au citoyen e</w:t>
      </w:r>
      <w:r w:rsidRPr="00026D95">
        <w:t>u</w:t>
      </w:r>
      <w:r w:rsidRPr="00026D95">
        <w:t>ropéen le droit à une protection sociale et à des moyens de subsistance adéquats.</w:t>
      </w:r>
      <w:r>
        <w:t> </w:t>
      </w:r>
      <w:r w:rsidRPr="00026D95">
        <w:rPr>
          <w:rStyle w:val="Appelnotedebasdep"/>
        </w:rPr>
        <w:footnoteReference w:id="58"/>
      </w:r>
      <w:r w:rsidRPr="00026D95">
        <w:t xml:space="preserve"> La question première concerne la portée réelle d'une telle proclamation. Ici on ne peut faire que des conjectures dans la mesure où les choses sont à se faire et il est difficile de déduire formellement de cette Charte des retombées concrètes sur la formulation des polit</w:t>
      </w:r>
      <w:r w:rsidRPr="00026D95">
        <w:t>i</w:t>
      </w:r>
      <w:r w:rsidRPr="00026D95">
        <w:t>ques sociales et d'emploi dans chacun des pays.</w:t>
      </w:r>
    </w:p>
    <w:p w:rsidR="00F35523" w:rsidRPr="00026D95" w:rsidRDefault="00F35523" w:rsidP="00F35523">
      <w:pPr>
        <w:spacing w:before="120" w:after="120"/>
        <w:jc w:val="both"/>
      </w:pPr>
      <w:r w:rsidRPr="00026D95">
        <w:t>La Charte attire l'attention et cristallise l'intention des pays de la Comm</w:t>
      </w:r>
      <w:r w:rsidRPr="00026D95">
        <w:t>u</w:t>
      </w:r>
      <w:r w:rsidRPr="00026D95">
        <w:t>nauté européenne à l'égard de la dimension sociale. Il importe de souligner tout autant la dynamique qui s'insère dans les rapports entre les institutions comm</w:t>
      </w:r>
      <w:r w:rsidRPr="00026D95">
        <w:t>u</w:t>
      </w:r>
      <w:r w:rsidRPr="00026D95">
        <w:t>nautaires, les États, les entités régionales ou locales et les réseaux transnationaux qui, sur la base d'intérêts terr</w:t>
      </w:r>
      <w:r w:rsidRPr="00026D95">
        <w:t>i</w:t>
      </w:r>
      <w:r w:rsidRPr="00026D95">
        <w:t>toriaux, sectoriels ou sociaux, se constituent en fonction d'enjeux pa</w:t>
      </w:r>
      <w:r w:rsidRPr="00026D95">
        <w:t>r</w:t>
      </w:r>
      <w:r w:rsidRPr="00026D95">
        <w:t>ticuliers et non liés au découpage politique traditionnel. L'enchev</w:t>
      </w:r>
      <w:r w:rsidRPr="00026D95">
        <w:t>ê</w:t>
      </w:r>
      <w:r w:rsidRPr="00026D95">
        <w:t>trement de ces diverses dimensions est inévitable. Bennington et Taylor remarquent que plusieurs problèmes de politique sociale ne peuvent être résolus de façon satisfaisante par le gouvernement nati</w:t>
      </w:r>
      <w:r w:rsidRPr="00026D95">
        <w:t>o</w:t>
      </w:r>
      <w:r w:rsidRPr="00026D95">
        <w:t>nal seul et doivent être progressivement pris en charge à la fois par les structures européennes supran</w:t>
      </w:r>
      <w:r w:rsidRPr="00026D95">
        <w:t>a</w:t>
      </w:r>
      <w:r w:rsidRPr="00026D95">
        <w:t>tionales et par les processus et réseaux transnationaux.</w:t>
      </w:r>
      <w:r>
        <w:t> </w:t>
      </w:r>
      <w:r w:rsidRPr="00026D95">
        <w:rPr>
          <w:rStyle w:val="Appelnotedebasdep"/>
        </w:rPr>
        <w:footnoteReference w:id="59"/>
      </w:r>
      <w:r w:rsidRPr="00026D95">
        <w:t xml:space="preserve"> Le processus d'élab</w:t>
      </w:r>
      <w:r w:rsidRPr="00026D95">
        <w:t>o</w:t>
      </w:r>
      <w:r w:rsidRPr="00026D95">
        <w:t>ration des politiques est sans doute plus complexe, mais il n'y a pas pour autant évacuation de la responsabilité et de la capacité d'initiative des États nationaux. En même temps, la Communauté européenne tente de stimuler, par la concert</w:t>
      </w:r>
      <w:r w:rsidRPr="00026D95">
        <w:t>a</w:t>
      </w:r>
      <w:r w:rsidRPr="00026D95">
        <w:t>tion, la désignation de grands paramètres aux systèmes de sécurité du revenu, afin de faciliter la circulation de la main-d’oeuvre en Europe. On peut tout de même s’interroger sur la symétrie prés</w:t>
      </w:r>
      <w:r w:rsidRPr="00026D95">
        <w:t>u</w:t>
      </w:r>
      <w:r w:rsidRPr="00026D95">
        <w:t>mée entre la constitution d'un marché unique et l'harmonisation de la protection sociale.</w:t>
      </w:r>
    </w:p>
    <w:p w:rsidR="00F35523" w:rsidRPr="00026D95" w:rsidRDefault="00F35523" w:rsidP="00F35523">
      <w:pPr>
        <w:spacing w:before="120" w:after="120"/>
        <w:jc w:val="both"/>
      </w:pPr>
      <w:r w:rsidRPr="00026D95">
        <w:t>[71]</w:t>
      </w:r>
    </w:p>
    <w:p w:rsidR="00F35523" w:rsidRDefault="00F35523" w:rsidP="00F35523">
      <w:pPr>
        <w:spacing w:before="120" w:after="120"/>
        <w:jc w:val="both"/>
      </w:pPr>
      <w:r w:rsidRPr="00026D95">
        <w:t>Sur cette lancée</w:t>
      </w:r>
      <w:r>
        <w:t> </w:t>
      </w:r>
      <w:r w:rsidRPr="00026D95">
        <w:rPr>
          <w:rStyle w:val="Appelnotedebasdep"/>
        </w:rPr>
        <w:footnoteReference w:id="60"/>
      </w:r>
      <w:r w:rsidRPr="00026D95">
        <w:t>, quelques questions peuvent être formulées. Faut-il croire que l'intégration du marché européen ira de pair avec l'émergence d'un État-Providence supranational européen ? Peut-on penser, d'un autre côté, que nous assistons à un processus d'harmon</w:t>
      </w:r>
      <w:r w:rsidRPr="00026D95">
        <w:t>i</w:t>
      </w:r>
      <w:r w:rsidRPr="00026D95">
        <w:t>sation des systèmes nationaux de protection sociale ? À cet égard, il serait utile de saisir jusqu'à quel point les différentes traditions et idé</w:t>
      </w:r>
      <w:r w:rsidRPr="00026D95">
        <w:t>o</w:t>
      </w:r>
      <w:r w:rsidRPr="00026D95">
        <w:t>logies concernant la protection sociale dans les États membres convergent ou divergent.</w:t>
      </w:r>
    </w:p>
    <w:p w:rsidR="00F35523" w:rsidRDefault="00F35523" w:rsidP="00F35523">
      <w:pPr>
        <w:spacing w:before="120" w:after="120"/>
        <w:jc w:val="both"/>
      </w:pPr>
      <w:r w:rsidRPr="00026D95">
        <w:t>L'intégration du marché des biens, des services et du capital en E</w:t>
      </w:r>
      <w:r w:rsidRPr="00026D95">
        <w:t>u</w:t>
      </w:r>
      <w:r w:rsidRPr="00026D95">
        <w:t>rope n'i</w:t>
      </w:r>
      <w:r w:rsidRPr="00026D95">
        <w:t>m</w:t>
      </w:r>
      <w:r w:rsidRPr="00026D95">
        <w:t>pose pas mécaniquement la convergence des systèmes de protection sociale. Une différence de nature dans les processus est à l’œuvre dans ces deux doma</w:t>
      </w:r>
      <w:r w:rsidRPr="00026D95">
        <w:t>i</w:t>
      </w:r>
      <w:r w:rsidRPr="00026D95">
        <w:t>nes, dans la mesure où le premier est mû d'abord par la déréglementation alors que le deuxième, menant à l'i</w:t>
      </w:r>
      <w:r w:rsidRPr="00026D95">
        <w:t>n</w:t>
      </w:r>
      <w:r w:rsidRPr="00026D95">
        <w:t>tégration du marché du travail et des systèmes sociaux, appelle plutôt une intervention pour ce qui est de la réglementation. En ce sens, une harmonisation des marchés du travail en Europe implique l'engag</w:t>
      </w:r>
      <w:r w:rsidRPr="00026D95">
        <w:t>e</w:t>
      </w:r>
      <w:r w:rsidRPr="00026D95">
        <w:t>ment des gouvernements et des acteurs sociaux dans l'établissement de no</w:t>
      </w:r>
      <w:r w:rsidRPr="00026D95">
        <w:t>r</w:t>
      </w:r>
      <w:r w:rsidRPr="00026D95">
        <w:t>mes et de droits communs.</w:t>
      </w:r>
      <w:r>
        <w:t> </w:t>
      </w:r>
      <w:r w:rsidRPr="00026D95">
        <w:rPr>
          <w:rStyle w:val="Appelnotedebasdep"/>
        </w:rPr>
        <w:footnoteReference w:id="61"/>
      </w:r>
    </w:p>
    <w:p w:rsidR="00F35523" w:rsidRDefault="00F35523" w:rsidP="00F35523">
      <w:pPr>
        <w:spacing w:before="120" w:after="120"/>
        <w:jc w:val="both"/>
      </w:pPr>
      <w:r w:rsidRPr="00026D95">
        <w:t>Par ailleurs les configurations institutionnelles et les pratiques qui accomp</w:t>
      </w:r>
      <w:r w:rsidRPr="00026D95">
        <w:t>a</w:t>
      </w:r>
      <w:r w:rsidRPr="00026D95">
        <w:t>gnent les relations industrielles, les politiques d'emploi et les systèmes de protection sociale sont extrêmement différents et enrac</w:t>
      </w:r>
      <w:r w:rsidRPr="00026D95">
        <w:t>i</w:t>
      </w:r>
      <w:r w:rsidRPr="00026D95">
        <w:t>nés dans des traditions, une culture et une histoire propres à chaque pays. Cela freine grandement la possib</w:t>
      </w:r>
      <w:r w:rsidRPr="00026D95">
        <w:t>i</w:t>
      </w:r>
      <w:r w:rsidRPr="00026D95">
        <w:t>lité de développement d'une protection sociale trans-européenne.</w:t>
      </w:r>
      <w:r>
        <w:t> </w:t>
      </w:r>
      <w:r w:rsidRPr="00026D95">
        <w:rPr>
          <w:rStyle w:val="Appelnotedebasdep"/>
        </w:rPr>
        <w:footnoteReference w:id="62"/>
      </w:r>
      <w:r w:rsidRPr="00026D95">
        <w:t xml:space="preserve"> Les formes institutionnelles reposent sur des compromis historiques et structurent la prat</w:t>
      </w:r>
      <w:r w:rsidRPr="00026D95">
        <w:t>i</w:t>
      </w:r>
      <w:r w:rsidRPr="00026D95">
        <w:t>que des acteurs, si bien qu'une démarche purement volontariste ne pourrait qu'être en butte à des contraintes sociales et politiques majeures. P</w:t>
      </w:r>
      <w:r w:rsidRPr="00026D95">
        <w:t>a</w:t>
      </w:r>
      <w:r w:rsidRPr="00026D95">
        <w:t>rallèlement, des initiatives comparables dans différents pays auront un sens différencié, selon la structure préexistante dans laquelle elles s'i</w:t>
      </w:r>
      <w:r w:rsidRPr="00026D95">
        <w:t>n</w:t>
      </w:r>
      <w:r w:rsidRPr="00026D95">
        <w:t>sèrent.</w:t>
      </w:r>
    </w:p>
    <w:p w:rsidR="00F35523" w:rsidRDefault="00F35523" w:rsidP="00F35523">
      <w:pPr>
        <w:spacing w:before="120" w:after="120"/>
        <w:jc w:val="both"/>
      </w:pPr>
    </w:p>
    <w:p w:rsidR="00F35523" w:rsidRPr="00B3106F" w:rsidRDefault="00F35523" w:rsidP="00F35523">
      <w:pPr>
        <w:pStyle w:val="bb"/>
      </w:pPr>
      <w:r w:rsidRPr="00B3106F">
        <w:t>L'intégratio</w:t>
      </w:r>
      <w:r>
        <w:t>n des relations industrielles :</w:t>
      </w:r>
      <w:r>
        <w:br/>
      </w:r>
      <w:r w:rsidRPr="00B3106F">
        <w:t>une impasse institutio</w:t>
      </w:r>
      <w:r w:rsidRPr="00B3106F">
        <w:t>n</w:t>
      </w:r>
      <w:r w:rsidRPr="00B3106F">
        <w:t>nelle</w:t>
      </w:r>
    </w:p>
    <w:p w:rsidR="00F35523" w:rsidRDefault="00F35523" w:rsidP="00F35523">
      <w:pPr>
        <w:spacing w:before="120" w:after="120"/>
        <w:jc w:val="both"/>
      </w:pPr>
    </w:p>
    <w:p w:rsidR="00F35523" w:rsidRDefault="00F35523" w:rsidP="00F35523">
      <w:pPr>
        <w:spacing w:before="120" w:after="120"/>
        <w:jc w:val="both"/>
      </w:pPr>
      <w:r w:rsidRPr="00026D95">
        <w:t>Pour prendre un secteur en particulier, l’analyse de la diversité des relations industrielles en Europe permet de penser que la possibilité pour la Communauté européenne de présider politiquement à la mise en place d'un système harmon</w:t>
      </w:r>
      <w:r w:rsidRPr="00026D95">
        <w:t>i</w:t>
      </w:r>
      <w:r w:rsidRPr="00026D95">
        <w:t>sé est fort mince. La grande diversité des [72] systèmes nationaux,</w:t>
      </w:r>
      <w:r>
        <w:t> </w:t>
      </w:r>
      <w:r w:rsidRPr="00026D95">
        <w:rPr>
          <w:rStyle w:val="Appelnotedebasdep"/>
        </w:rPr>
        <w:footnoteReference w:id="63"/>
      </w:r>
      <w:r w:rsidRPr="00026D95">
        <w:t xml:space="preserve"> les importantes différences économ</w:t>
      </w:r>
      <w:r w:rsidRPr="00026D95">
        <w:t>i</w:t>
      </w:r>
      <w:r w:rsidRPr="00026D95">
        <w:t>ques, les conflits d'intérêts marqués entre les acteurs sociaux nati</w:t>
      </w:r>
      <w:r w:rsidRPr="00026D95">
        <w:t>o</w:t>
      </w:r>
      <w:r w:rsidRPr="00026D95">
        <w:t>naux qui devraient être des protagonistes d'une institutionnalis</w:t>
      </w:r>
      <w:r w:rsidRPr="00026D95">
        <w:t>a</w:t>
      </w:r>
      <w:r w:rsidRPr="00026D95">
        <w:t>tion supranationale, la faiblesse de l’autorité politique nationale par ra</w:t>
      </w:r>
      <w:r w:rsidRPr="00026D95">
        <w:t>p</w:t>
      </w:r>
      <w:r w:rsidRPr="00026D95">
        <w:t>port à l'économie mondiale et, dans une moindre mesure, par rapport aux institutions politiques supranationales, tous ces éléments se dre</w:t>
      </w:r>
      <w:r w:rsidRPr="00026D95">
        <w:t>s</w:t>
      </w:r>
      <w:r w:rsidRPr="00026D95">
        <w:t>sent contre une intervention institutionnelle communautaire. Streeck considère qu'il y a là une impasse inst</w:t>
      </w:r>
      <w:r w:rsidRPr="00026D95">
        <w:t>i</w:t>
      </w:r>
      <w:r w:rsidRPr="00026D95">
        <w:t>tutionnelle.</w:t>
      </w:r>
      <w:r>
        <w:t> </w:t>
      </w:r>
      <w:r w:rsidRPr="00026D95">
        <w:rPr>
          <w:rStyle w:val="Appelnotedebasdep"/>
        </w:rPr>
        <w:footnoteReference w:id="64"/>
      </w:r>
      <w:r w:rsidRPr="00026D95">
        <w:t xml:space="preserve"> Dans l'état actuel des choses, le développement de relations i</w:t>
      </w:r>
      <w:r w:rsidRPr="00026D95">
        <w:t>n</w:t>
      </w:r>
      <w:r w:rsidRPr="00026D95">
        <w:t>dustrielles européennes sera le produit d'un processus chaotique conditionné par une série de facteurs, parmi lesquels les pressions d'une économie mondialisée et continentalisée arrivent en bonne place.</w:t>
      </w:r>
    </w:p>
    <w:p w:rsidR="00F35523" w:rsidRDefault="00F35523" w:rsidP="00F35523">
      <w:pPr>
        <w:spacing w:before="120" w:after="120"/>
        <w:jc w:val="both"/>
      </w:pPr>
      <w:r w:rsidRPr="00026D95">
        <w:t>La Charte intensifie les pressions du marché sur les politiques i</w:t>
      </w:r>
      <w:r w:rsidRPr="00026D95">
        <w:t>n</w:t>
      </w:r>
      <w:r w:rsidRPr="00026D95">
        <w:t>ternes dans la mesure où elle tend à unifier le contexte dans lequel ces politiques sont fo</w:t>
      </w:r>
      <w:r w:rsidRPr="00026D95">
        <w:t>r</w:t>
      </w:r>
      <w:r w:rsidRPr="00026D95">
        <w:t>mulées.</w:t>
      </w:r>
      <w:r>
        <w:t> </w:t>
      </w:r>
      <w:r w:rsidRPr="00026D95">
        <w:rPr>
          <w:rStyle w:val="Appelnotedebasdep"/>
        </w:rPr>
        <w:footnoteReference w:id="65"/>
      </w:r>
      <w:r w:rsidRPr="00026D95">
        <w:t xml:space="preserve"> Ainsi, dans chaque État, la référence aux autres pays de la Comm</w:t>
      </w:r>
      <w:r w:rsidRPr="00026D95">
        <w:t>u</w:t>
      </w:r>
      <w:r w:rsidRPr="00026D95">
        <w:t>nauté et même la comparaison explicite avec ce qui se fait ailleurs sont partie intégrante du processus de prise de décision. La Communauté, par ailleurs, peut proposer certains thèmes prioritaires et indiquer certaines directions, touchant par exemple la formation ou le chômage de longue durée. Ainsi, on peut antic</w:t>
      </w:r>
      <w:r w:rsidRPr="00026D95">
        <w:t>i</w:t>
      </w:r>
      <w:r w:rsidRPr="00026D95">
        <w:t>per un rapprochement des politiques, même si celles-ci restent d'abord de co</w:t>
      </w:r>
      <w:r w:rsidRPr="00026D95">
        <w:t>m</w:t>
      </w:r>
      <w:r w:rsidRPr="00026D95">
        <w:t>pétence nationale.</w:t>
      </w:r>
    </w:p>
    <w:p w:rsidR="00F35523" w:rsidRPr="00026D95" w:rsidRDefault="00F35523" w:rsidP="00F35523">
      <w:pPr>
        <w:spacing w:before="120" w:after="120"/>
        <w:jc w:val="both"/>
      </w:pPr>
      <w:r w:rsidRPr="00026D95">
        <w:t>Mais il faut aussi compter sur d'autres facteurs dont l'influence centrifuge peut être assez grande, tels que les circonstances politiques et institutionnelles nationales et locales, les choix stratégiques sing</w:t>
      </w:r>
      <w:r w:rsidRPr="00026D95">
        <w:t>u</w:t>
      </w:r>
      <w:r w:rsidRPr="00026D95">
        <w:t>liers des firmes ou des acteurs sociaux, la compétition entre les rég</w:t>
      </w:r>
      <w:r w:rsidRPr="00026D95">
        <w:t>i</w:t>
      </w:r>
      <w:r w:rsidRPr="00026D95">
        <w:t>mes nationaux dans un marché par ailleurs unifié et les conséquences non prévues d'actions collectives dispersées et fra</w:t>
      </w:r>
      <w:r w:rsidRPr="00026D95">
        <w:t>g</w:t>
      </w:r>
      <w:r w:rsidRPr="00026D95">
        <w:t>mentées.</w:t>
      </w:r>
      <w:r>
        <w:t> </w:t>
      </w:r>
      <w:r w:rsidRPr="00026D95">
        <w:rPr>
          <w:rStyle w:val="Appelnotedebasdep"/>
        </w:rPr>
        <w:footnoteReference w:id="66"/>
      </w:r>
      <w:r w:rsidRPr="00026D95">
        <w:t xml:space="preserve"> La question d'une action intégrative de la Communauté en matière de r</w:t>
      </w:r>
      <w:r w:rsidRPr="00026D95">
        <w:t>e</w:t>
      </w:r>
      <w:r w:rsidRPr="00026D95">
        <w:t>lations industrielles est ouverte et n'obéit pas à une seule tendance. On pourrait être tenté de poursuivre selon un raisonnement semblable pour ce qui est de la protection sociale.</w:t>
      </w:r>
    </w:p>
    <w:p w:rsidR="00F35523" w:rsidRDefault="00F35523" w:rsidP="00F35523">
      <w:pPr>
        <w:pStyle w:val="p"/>
      </w:pPr>
      <w:r>
        <w:br w:type="page"/>
      </w:r>
      <w:r w:rsidRPr="00026D95">
        <w:t>[73]</w:t>
      </w:r>
    </w:p>
    <w:p w:rsidR="00F35523" w:rsidRDefault="00F35523" w:rsidP="00F35523">
      <w:pPr>
        <w:spacing w:before="120" w:after="120"/>
        <w:jc w:val="both"/>
      </w:pPr>
    </w:p>
    <w:p w:rsidR="00F35523" w:rsidRPr="00B3106F" w:rsidRDefault="00F35523" w:rsidP="00F35523">
      <w:pPr>
        <w:pStyle w:val="bb"/>
      </w:pPr>
      <w:r w:rsidRPr="00B3106F">
        <w:t>L'intégration de la protection sociale :</w:t>
      </w:r>
      <w:r w:rsidRPr="00B3106F">
        <w:br/>
        <w:t>un processus social et politique incertain</w:t>
      </w:r>
    </w:p>
    <w:p w:rsidR="00F35523" w:rsidRDefault="00F35523" w:rsidP="00F35523">
      <w:pPr>
        <w:spacing w:before="120" w:after="120"/>
        <w:jc w:val="both"/>
      </w:pPr>
    </w:p>
    <w:p w:rsidR="00F35523" w:rsidRDefault="00F35523" w:rsidP="00F35523">
      <w:pPr>
        <w:spacing w:before="120" w:after="120"/>
        <w:jc w:val="both"/>
      </w:pPr>
      <w:r w:rsidRPr="00026D95">
        <w:t>Dans tous les pays, la protection sociale fait face aux mêmes pre</w:t>
      </w:r>
      <w:r w:rsidRPr="00026D95">
        <w:t>s</w:t>
      </w:r>
      <w:r w:rsidRPr="00026D95">
        <w:t>sions et partout on constate des politiques de restriction ou de plafo</w:t>
      </w:r>
      <w:r w:rsidRPr="00026D95">
        <w:t>n</w:t>
      </w:r>
      <w:r w:rsidRPr="00026D95">
        <w:t>nement des dépe</w:t>
      </w:r>
      <w:r w:rsidRPr="00026D95">
        <w:t>n</w:t>
      </w:r>
      <w:r w:rsidRPr="00026D95">
        <w:t>ses.</w:t>
      </w:r>
      <w:r>
        <w:t> </w:t>
      </w:r>
      <w:r w:rsidRPr="00026D95">
        <w:rPr>
          <w:rStyle w:val="Appelnotedebasdep"/>
        </w:rPr>
        <w:footnoteReference w:id="67"/>
      </w:r>
      <w:r w:rsidRPr="00026D95">
        <w:t xml:space="preserve"> L'heure est à l'austérité, mais le sens à donner à cet objectif à travers des mesures particulières varie d'un pays à l'a</w:t>
      </w:r>
      <w:r w:rsidRPr="00026D95">
        <w:t>u</w:t>
      </w:r>
      <w:r w:rsidRPr="00026D95">
        <w:t>tre. L'analyse des actions dans les pays partenaires est riche d'ense</w:t>
      </w:r>
      <w:r w:rsidRPr="00026D95">
        <w:t>i</w:t>
      </w:r>
      <w:r w:rsidRPr="00026D95">
        <w:t>gnement ; l’existence de la Communauté eur</w:t>
      </w:r>
      <w:r w:rsidRPr="00026D95">
        <w:t>o</w:t>
      </w:r>
      <w:r w:rsidRPr="00026D95">
        <w:t>péenne et son action encouragent d'ailleurs la comparaison entre États membres. L'ordre des priorités et la nature des enjeux négociés entre les grands acteurs sociaux et le gouvernement reflètent souvent une prise en considér</w:t>
      </w:r>
      <w:r w:rsidRPr="00026D95">
        <w:t>a</w:t>
      </w:r>
      <w:r w:rsidRPr="00026D95">
        <w:t>tion des pratiques dans les autres États membres. Les retombées rée</w:t>
      </w:r>
      <w:r w:rsidRPr="00026D95">
        <w:t>l</w:t>
      </w:r>
      <w:r w:rsidRPr="00026D95">
        <w:t>les de la comparaison et la propension plus ou moins grande au mim</w:t>
      </w:r>
      <w:r w:rsidRPr="00026D95">
        <w:t>é</w:t>
      </w:r>
      <w:r w:rsidRPr="00026D95">
        <w:t>tisme sont largement tributaires de l'état des rapports de forces entre ces grands acteurs et de la configuration institutionnelle nationale, plus ou moins perméable au changement.</w:t>
      </w:r>
    </w:p>
    <w:p w:rsidR="00F35523" w:rsidRDefault="00F35523" w:rsidP="00F35523">
      <w:pPr>
        <w:spacing w:before="120" w:after="120"/>
        <w:jc w:val="both"/>
      </w:pPr>
      <w:r w:rsidRPr="00026D95">
        <w:t>Si le cadre européen peut favoriser un processus d'élaboration de politiques analogues, cela ne pourrait se faire qu'à travers un proce</w:t>
      </w:r>
      <w:r w:rsidRPr="00026D95">
        <w:t>s</w:t>
      </w:r>
      <w:r w:rsidRPr="00026D95">
        <w:t>sus politique et social incertain et même réfractaire à plusieurs égards à cette direction. On peu' à ce propos évoquer différents scénarios s</w:t>
      </w:r>
      <w:r w:rsidRPr="00026D95">
        <w:t>e</w:t>
      </w:r>
      <w:r w:rsidRPr="00026D95">
        <w:t>lon lesquels la Communauté européenne tantôt serait essentiellement une collection d'États largement autonomes quant à la détermination de la protection sociale, et tantôt, pouvant agir de sa propre initiative, jouerait un rôle important dans l'élaboration et la mise en place de formes européennes de réglementation concernant la protection soci</w:t>
      </w:r>
      <w:r w:rsidRPr="00026D95">
        <w:t>a</w:t>
      </w:r>
      <w:r w:rsidRPr="00026D95">
        <w:t>le ; on peut aussi imaginer un scénario transnational dans lequel les premiers décideurs seraient les gouvernements nationaux qui formul</w:t>
      </w:r>
      <w:r w:rsidRPr="00026D95">
        <w:t>e</w:t>
      </w:r>
      <w:r w:rsidRPr="00026D95">
        <w:t>raient, à travers un processus européen de prise de décision, les lignes directrices relatives à certains enjeux précis dans la mesure où il y a un fort consensus.</w:t>
      </w:r>
    </w:p>
    <w:p w:rsidR="00F35523" w:rsidRDefault="00F35523" w:rsidP="00F35523">
      <w:pPr>
        <w:spacing w:before="120" w:after="120"/>
        <w:jc w:val="both"/>
      </w:pPr>
      <w:r w:rsidRPr="00026D95">
        <w:t>Le processus social et politique va immanquablement mettre en lumière to</w:t>
      </w:r>
      <w:r w:rsidRPr="00026D95">
        <w:t>u</w:t>
      </w:r>
      <w:r w:rsidRPr="00026D95">
        <w:t>te une série d'arbitrages qui sont lourds de sens et qui ont des incidences diff</w:t>
      </w:r>
      <w:r w:rsidRPr="00026D95">
        <w:t>é</w:t>
      </w:r>
      <w:r w:rsidRPr="00026D95">
        <w:t>rentes selon les configurations institutionnelles et les conceptions qui habitent les systèmes de protection sociale. N</w:t>
      </w:r>
      <w:r w:rsidRPr="00026D95">
        <w:t>o</w:t>
      </w:r>
      <w:r w:rsidRPr="00026D95">
        <w:t>tamment, la principale controverse ne manquera pas de soulever la question de la subsidiarité et du rôle respectif des institutions comm</w:t>
      </w:r>
      <w:r w:rsidRPr="00026D95">
        <w:t>u</w:t>
      </w:r>
      <w:r w:rsidRPr="00026D95">
        <w:t>nautaires, de l'État national et des pouvoirs locaux dans l'évolution de la protection sociale. Parallèlement, à terme, vont s'affronter les co</w:t>
      </w:r>
      <w:r w:rsidRPr="00026D95">
        <w:t>m</w:t>
      </w:r>
      <w:r w:rsidRPr="00026D95">
        <w:t>préhensions de la protection sociale selon qu'elles s'appuient sur des régimes d'assurances associés à la relation de travail ou qu'elles se d</w:t>
      </w:r>
      <w:r w:rsidRPr="00026D95">
        <w:t>é</w:t>
      </w:r>
      <w:r w:rsidRPr="00026D95">
        <w:t>finissent en premier lieu en référence à des droits sociaux attachés à la citoyenneté. La que</w:t>
      </w:r>
      <w:r w:rsidRPr="00026D95">
        <w:t>s</w:t>
      </w:r>
      <w:r w:rsidRPr="00026D95">
        <w:t>tion des mérites d'une intégration plus ou moins poussée sera [74] jugée en fonction des effets, soit un nivellement par le haut ou par le bas, du système de droits existant dans chaque État membre.</w:t>
      </w:r>
    </w:p>
    <w:p w:rsidR="00F35523" w:rsidRDefault="00F35523" w:rsidP="00F35523">
      <w:pPr>
        <w:spacing w:before="120" w:after="120"/>
        <w:jc w:val="both"/>
      </w:pPr>
      <w:r w:rsidRPr="00026D95">
        <w:t>Plus fondamentalement se pose la question des conditions d'exi</w:t>
      </w:r>
      <w:r w:rsidRPr="00026D95">
        <w:t>s</w:t>
      </w:r>
      <w:r w:rsidRPr="00026D95">
        <w:t>tence des différents systèmes de protection sociale. Les facteurs qui concourent à l'apparition de grands systèmes différenciés de prote</w:t>
      </w:r>
      <w:r w:rsidRPr="00026D95">
        <w:t>c</w:t>
      </w:r>
      <w:r w:rsidRPr="00026D95">
        <w:t>tion sociale se composent de l'état de la mobilisation des forces des gauche et des rapports de forces sur la scène sociale et politique, de l'orientation et des composantes de l'alliance politique qui est à la tête de l'État, ainsi que de l'héritage institutionnel.</w:t>
      </w:r>
    </w:p>
    <w:p w:rsidR="00F35523" w:rsidRDefault="00F35523" w:rsidP="00F35523">
      <w:pPr>
        <w:spacing w:before="120" w:after="120"/>
        <w:jc w:val="both"/>
      </w:pPr>
      <w:r w:rsidRPr="00026D95">
        <w:t>Ce rappel permet de formuler trois grandes remarques. Premièr</w:t>
      </w:r>
      <w:r w:rsidRPr="00026D95">
        <w:t>e</w:t>
      </w:r>
      <w:r w:rsidRPr="00026D95">
        <w:t>ment, tout processus de convergence des différents types d’État-Providence (et de protection sociale) devrait mener à des contradi</w:t>
      </w:r>
      <w:r w:rsidRPr="00026D95">
        <w:t>c</w:t>
      </w:r>
      <w:r w:rsidRPr="00026D95">
        <w:t>tions majeures entre des orientations et des conceptions mutuellement incompatibles ; un tel processus, qui implique changements et choix de société, devrait être ponctué de moments critiques, voire de cr</w:t>
      </w:r>
      <w:r w:rsidRPr="00026D95">
        <w:t>i</w:t>
      </w:r>
      <w:r w:rsidRPr="00026D95">
        <w:t>ses.</w:t>
      </w:r>
      <w:r>
        <w:t> </w:t>
      </w:r>
      <w:r w:rsidRPr="00026D95">
        <w:rPr>
          <w:rStyle w:val="Appelnotedebasdep"/>
        </w:rPr>
        <w:footnoteReference w:id="68"/>
      </w:r>
      <w:r w:rsidRPr="00026D95">
        <w:t xml:space="preserve"> Deuxièmement, sauf si un pouvoir supranational réussit à s'i</w:t>
      </w:r>
      <w:r w:rsidRPr="00026D95">
        <w:t>m</w:t>
      </w:r>
      <w:r w:rsidRPr="00026D95">
        <w:t>poser, les changements et arbitrages menant à une restructuration de la protection sociale portés par un État national se feront surtout en réf</w:t>
      </w:r>
      <w:r w:rsidRPr="00026D95">
        <w:t>é</w:t>
      </w:r>
      <w:r w:rsidRPr="00026D95">
        <w:t>rence à l'hér</w:t>
      </w:r>
      <w:r w:rsidRPr="00026D95">
        <w:t>i</w:t>
      </w:r>
      <w:r w:rsidRPr="00026D95">
        <w:t>tage politique et institutionnel du pays ; l’option d'un bouleversement radical menant à une rupture dans le système de pr</w:t>
      </w:r>
      <w:r w:rsidRPr="00026D95">
        <w:t>o</w:t>
      </w:r>
      <w:r w:rsidRPr="00026D95">
        <w:t>tection sociale et à l'adoption d'un système de protection sociale d'une conception et d'une orientation d'ensemble fondamentalement diff</w:t>
      </w:r>
      <w:r w:rsidRPr="00026D95">
        <w:t>é</w:t>
      </w:r>
      <w:r w:rsidRPr="00026D95">
        <w:t>rentes est une hypothèse seconde. Troisièmement, les mesures sur le</w:t>
      </w:r>
      <w:r w:rsidRPr="00026D95">
        <w:t>s</w:t>
      </w:r>
      <w:r w:rsidRPr="00026D95">
        <w:t>quelles s'appuie la restructuration de la protection sociale pe</w:t>
      </w:r>
      <w:r w:rsidRPr="00026D95">
        <w:t>u</w:t>
      </w:r>
      <w:r w:rsidRPr="00026D95">
        <w:t>vent être apparentées, voire semblables, d'un pays à l'autre, mais, dans la mes</w:t>
      </w:r>
      <w:r w:rsidRPr="00026D95">
        <w:t>u</w:t>
      </w:r>
      <w:r w:rsidRPr="00026D95">
        <w:t>re où elles sont introduites dans des architectures qui reposent sur des principes spécifiques, elles joueront des rôles différents et contribu</w:t>
      </w:r>
      <w:r w:rsidRPr="00026D95">
        <w:t>e</w:t>
      </w:r>
      <w:r w:rsidRPr="00026D95">
        <w:t>ront diversement aux stratégies d'intervention.</w:t>
      </w:r>
      <w:r>
        <w:t> </w:t>
      </w:r>
      <w:r w:rsidRPr="00026D95">
        <w:rPr>
          <w:rStyle w:val="Appelnotedebasdep"/>
        </w:rPr>
        <w:footnoteReference w:id="69"/>
      </w:r>
      <w:r w:rsidRPr="00026D95">
        <w:t xml:space="preserve"> En ce sens, on ne peut se fonder sur le repérage de mesures formellement semblables pour supposer une harmonisation ou une convergence de la protection sociale, car il n'est pas dit qu'elles aient la même utilité et qu'elles contribuent pareillement à redéfinir le mode d'intervention de l'État auprès des populations. C'est ce que nous allons tenter d'illustrer dans la section suivante.</w:t>
      </w:r>
    </w:p>
    <w:p w:rsidR="00F35523" w:rsidRDefault="00F35523" w:rsidP="00F35523">
      <w:pPr>
        <w:spacing w:before="120" w:after="120"/>
        <w:jc w:val="both"/>
      </w:pPr>
    </w:p>
    <w:p w:rsidR="00F35523" w:rsidRDefault="00F35523" w:rsidP="00F35523">
      <w:pPr>
        <w:pStyle w:val="aa"/>
      </w:pPr>
      <w:bookmarkStart w:id="6" w:name="Restructuration_4"/>
      <w:r w:rsidRPr="00026D95">
        <w:t>Les types d’État-Providence et le workfare</w:t>
      </w:r>
    </w:p>
    <w:bookmarkEnd w:id="6"/>
    <w:p w:rsidR="00F35523" w:rsidRDefault="00F35523" w:rsidP="00F35523">
      <w:pPr>
        <w:spacing w:before="120" w:after="120"/>
        <w:jc w:val="both"/>
      </w:pPr>
    </w:p>
    <w:p w:rsidR="00F35523" w:rsidRPr="00384B20" w:rsidRDefault="00F35523" w:rsidP="00F35523">
      <w:pPr>
        <w:ind w:right="90" w:firstLine="0"/>
        <w:jc w:val="both"/>
        <w:rPr>
          <w:sz w:val="20"/>
        </w:rPr>
      </w:pPr>
      <w:hyperlink w:anchor="tdm" w:history="1">
        <w:r w:rsidRPr="00384B20">
          <w:rPr>
            <w:rStyle w:val="Lienhypertexte"/>
            <w:sz w:val="20"/>
          </w:rPr>
          <w:t>Retour à la table des matières</w:t>
        </w:r>
      </w:hyperlink>
    </w:p>
    <w:p w:rsidR="00F35523" w:rsidRDefault="00F35523" w:rsidP="00F35523">
      <w:pPr>
        <w:spacing w:before="120" w:after="120"/>
        <w:jc w:val="both"/>
      </w:pPr>
      <w:r w:rsidRPr="00026D95">
        <w:t xml:space="preserve">On peut dire que tous les pays de l'OCDE ont fait l'expérience de mesures de </w:t>
      </w:r>
      <w:r w:rsidRPr="00026D95">
        <w:rPr>
          <w:i/>
        </w:rPr>
        <w:t xml:space="preserve">workfare, si </w:t>
      </w:r>
      <w:r w:rsidRPr="00026D95">
        <w:t>l'on donne une définition large de cette n</w:t>
      </w:r>
      <w:r w:rsidRPr="00026D95">
        <w:t>o</w:t>
      </w:r>
      <w:r w:rsidRPr="00026D95">
        <w:t>tion</w:t>
      </w:r>
      <w:r>
        <w:t> </w:t>
      </w:r>
      <w:r w:rsidRPr="00026D95">
        <w:rPr>
          <w:rStyle w:val="Appelnotedebasdep"/>
        </w:rPr>
        <w:footnoteReference w:id="70"/>
      </w:r>
      <w:r w:rsidRPr="00026D95">
        <w:t xml:space="preserve"> [75] et qu'on la comprenne comme la subordination en tout ou en partie d'une mesure de remplacement du revenu à des mesures a</w:t>
      </w:r>
      <w:r w:rsidRPr="00026D95">
        <w:t>c</w:t>
      </w:r>
      <w:r w:rsidRPr="00026D95">
        <w:t>tives de réintégration au marché du tr</w:t>
      </w:r>
      <w:r w:rsidRPr="00026D95">
        <w:t>a</w:t>
      </w:r>
      <w:r w:rsidRPr="00026D95">
        <w:t>vail ou d'incitation positive à la recherche d'emploi. Malgré la diffusion de te</w:t>
      </w:r>
      <w:r w:rsidRPr="00026D95">
        <w:t>l</w:t>
      </w:r>
      <w:r w:rsidRPr="00026D95">
        <w:t>les mesures, on note d'importantes variations quant à leur définition et quant à la logique de leur mise en œuvre. La typologie d'Esping-Andersen, qui disti</w:t>
      </w:r>
      <w:r w:rsidRPr="00026D95">
        <w:t>n</w:t>
      </w:r>
      <w:r w:rsidRPr="00026D95">
        <w:t>gue les modèles libéral, conservateur et social-démocrate, peut nous aider à sa</w:t>
      </w:r>
      <w:r w:rsidRPr="00026D95">
        <w:t>i</w:t>
      </w:r>
      <w:r w:rsidRPr="00026D95">
        <w:t>sir ces variations.</w:t>
      </w:r>
    </w:p>
    <w:p w:rsidR="00F35523" w:rsidRDefault="00F35523" w:rsidP="00F35523">
      <w:pPr>
        <w:spacing w:before="120" w:after="120"/>
        <w:jc w:val="both"/>
      </w:pPr>
      <w:r w:rsidRPr="00026D95">
        <w:t>On sait qu'au-delà de la question quantitative, les États-Providence présentent des institutions et des programmes qualitativement diff</w:t>
      </w:r>
      <w:r w:rsidRPr="00026D95">
        <w:t>é</w:t>
      </w:r>
      <w:r w:rsidRPr="00026D95">
        <w:t>renciés, notamment au chapitre de la définition de leurs objectifs. Pour les individus, les conce</w:t>
      </w:r>
      <w:r w:rsidRPr="00026D95">
        <w:t>p</w:t>
      </w:r>
      <w:r w:rsidRPr="00026D95">
        <w:t>tions de la citoyenneté et de la solidarité que concrétisent les programmes s</w:t>
      </w:r>
      <w:r w:rsidRPr="00026D95">
        <w:t>o</w:t>
      </w:r>
      <w:r w:rsidRPr="00026D95">
        <w:t>ciaux risquent en fait de compter plus que l'étendue de l'intervention ou le niveau des dépenses. Les pr</w:t>
      </w:r>
      <w:r w:rsidRPr="00026D95">
        <w:t>o</w:t>
      </w:r>
      <w:r w:rsidRPr="00026D95">
        <w:t>grammes sociaux sont-ils universels, sélectifs, basés sur des examens de ressources ? Les prestations sont-elles déterminées par les contr</w:t>
      </w:r>
      <w:r w:rsidRPr="00026D95">
        <w:t>i</w:t>
      </w:r>
      <w:r w:rsidRPr="00026D95">
        <w:t>butions antérieures ? L'accès aux services est-il administré par des fon</w:t>
      </w:r>
      <w:r w:rsidRPr="00026D95">
        <w:t>c</w:t>
      </w:r>
      <w:r w:rsidRPr="00026D95">
        <w:t>tionnaires, des communautés locales ou encore des organisations syndicales ou syndicales-patronales ? Voilà autant de questions qui permettent de dégager des physionomies contrastées de l'État-providence.</w:t>
      </w:r>
    </w:p>
    <w:p w:rsidR="00F35523" w:rsidRPr="00026D95" w:rsidRDefault="00F35523" w:rsidP="00F35523">
      <w:pPr>
        <w:spacing w:before="120" w:after="120"/>
        <w:jc w:val="both"/>
      </w:pPr>
      <w:r w:rsidRPr="00026D95">
        <w:t>Pour prendre un secteur en particulier, on peut dire que l'importa</w:t>
      </w:r>
      <w:r w:rsidRPr="00026D95">
        <w:t>n</w:t>
      </w:r>
      <w:r w:rsidRPr="00026D95">
        <w:t>ce relative des politiques actives du marché du travail (telles les mes</w:t>
      </w:r>
      <w:r w:rsidRPr="00026D95">
        <w:t>u</w:t>
      </w:r>
      <w:r w:rsidRPr="00026D95">
        <w:t>res touchant la fo</w:t>
      </w:r>
      <w:r w:rsidRPr="00026D95">
        <w:t>r</w:t>
      </w:r>
      <w:r w:rsidRPr="00026D95">
        <w:t>mation ou l'emploi) et des politiques passives (la sécurité du revenu) est reliée de façon très claire aux types d’État-Providence. L'analyse comparative des d</w:t>
      </w:r>
      <w:r w:rsidRPr="00026D95">
        <w:t>é</w:t>
      </w:r>
      <w:r w:rsidRPr="00026D95">
        <w:t>penses publiques montre que l'État-providence social-démocrate est fortement et positivement associé à des dépenses élevées pour ce qui est des politiques actives (en pourcentage du PNB), que l’État-providence libéral est négativ</w:t>
      </w:r>
      <w:r w:rsidRPr="00026D95">
        <w:t>e</w:t>
      </w:r>
      <w:r w:rsidRPr="00026D95">
        <w:t>ment associé à de telles dépenses et que l'</w:t>
      </w:r>
      <w:r>
        <w:t>État</w:t>
      </w:r>
      <w:r w:rsidRPr="00026D95">
        <w:t>-providence conserv</w:t>
      </w:r>
      <w:r w:rsidRPr="00026D95">
        <w:t>a</w:t>
      </w:r>
      <w:r w:rsidRPr="00026D95">
        <w:t>teur est faiblement mais positivement associé à ces dépenses. La Su</w:t>
      </w:r>
      <w:r w:rsidRPr="00026D95">
        <w:t>è</w:t>
      </w:r>
      <w:r w:rsidRPr="00026D95">
        <w:t>de, par exemple, a</w:t>
      </w:r>
      <w:r w:rsidRPr="00026D95">
        <w:t>p</w:t>
      </w:r>
      <w:r w:rsidRPr="00026D95">
        <w:t>plique beaucoup les politiques actives et le fait de manière contracyclique, alors que les États-Unis dépensent peu et le font moins en réponse au cycle économ</w:t>
      </w:r>
      <w:r w:rsidRPr="00026D95">
        <w:t>i</w:t>
      </w:r>
      <w:r w:rsidRPr="00026D95">
        <w:t>que qu'à des circonstances démographiques ou partisanes. Entre ces deux e</w:t>
      </w:r>
      <w:r w:rsidRPr="00026D95">
        <w:t>x</w:t>
      </w:r>
      <w:r w:rsidRPr="00026D95">
        <w:t>trêmes, les dépenses allemandes semblent déterminées principalement par la montée du chômage et par le pouvoir politique de la gauche.</w:t>
      </w:r>
      <w:r>
        <w:t> </w:t>
      </w:r>
      <w:r w:rsidRPr="00026D95">
        <w:rPr>
          <w:rStyle w:val="Appelnotedebasdep"/>
        </w:rPr>
        <w:footnoteReference w:id="71"/>
      </w:r>
    </w:p>
    <w:p w:rsidR="00F35523" w:rsidRDefault="00F35523" w:rsidP="00F35523">
      <w:pPr>
        <w:spacing w:before="120" w:after="120"/>
        <w:jc w:val="both"/>
      </w:pPr>
      <w:r w:rsidRPr="00026D95">
        <w:t>[76]</w:t>
      </w:r>
    </w:p>
    <w:p w:rsidR="00F35523" w:rsidRPr="00026D95" w:rsidRDefault="00F35523" w:rsidP="00F35523">
      <w:pPr>
        <w:spacing w:before="120" w:after="120"/>
        <w:jc w:val="both"/>
      </w:pPr>
    </w:p>
    <w:p w:rsidR="00F35523" w:rsidRPr="00B3106F" w:rsidRDefault="00F35523" w:rsidP="00F35523">
      <w:pPr>
        <w:pStyle w:val="bb"/>
      </w:pPr>
      <w:r w:rsidRPr="00B3106F">
        <w:t>Les logiques d'intervention</w:t>
      </w:r>
    </w:p>
    <w:p w:rsidR="00F35523" w:rsidRDefault="00F35523" w:rsidP="00F35523">
      <w:pPr>
        <w:spacing w:before="120" w:after="120"/>
        <w:jc w:val="both"/>
      </w:pPr>
    </w:p>
    <w:p w:rsidR="00F35523" w:rsidRDefault="00F35523" w:rsidP="00F35523">
      <w:pPr>
        <w:spacing w:before="120" w:after="120"/>
        <w:jc w:val="both"/>
      </w:pPr>
      <w:r w:rsidRPr="00026D95">
        <w:t>Les différences vont cependant bien au-delà des niveaux de dépe</w:t>
      </w:r>
      <w:r w:rsidRPr="00026D95">
        <w:t>n</w:t>
      </w:r>
      <w:r w:rsidRPr="00026D95">
        <w:t>ses publ</w:t>
      </w:r>
      <w:r w:rsidRPr="00026D95">
        <w:t>i</w:t>
      </w:r>
      <w:r w:rsidRPr="00026D95">
        <w:t>ques et des facteurs déterminant ceux-ci. Les justifications des politiques actives concernant le marché du travail, et plus partic</w:t>
      </w:r>
      <w:r w:rsidRPr="00026D95">
        <w:t>u</w:t>
      </w:r>
      <w:r w:rsidRPr="00026D95">
        <w:t xml:space="preserve">lièrement des politiques d'employabilité (ou de </w:t>
      </w:r>
      <w:r w:rsidRPr="00026D95">
        <w:rPr>
          <w:i/>
        </w:rPr>
        <w:t xml:space="preserve">workfare), </w:t>
      </w:r>
      <w:r w:rsidRPr="00026D95">
        <w:t>varient s</w:t>
      </w:r>
      <w:r w:rsidRPr="00026D95">
        <w:t>e</w:t>
      </w:r>
      <w:r w:rsidRPr="00026D95">
        <w:t>lon les types d’État-Providence.</w:t>
      </w:r>
    </w:p>
    <w:p w:rsidR="00F35523" w:rsidRDefault="00F35523" w:rsidP="00F35523">
      <w:pPr>
        <w:spacing w:before="120" w:after="120"/>
        <w:jc w:val="both"/>
      </w:pPr>
      <w:r w:rsidRPr="00026D95">
        <w:t>Sur le plan politique, on peut dégager quatre grandes argument</w:t>
      </w:r>
      <w:r w:rsidRPr="00026D95">
        <w:t>a</w:t>
      </w:r>
      <w:r w:rsidRPr="00026D95">
        <w:t>tions en f</w:t>
      </w:r>
      <w:r w:rsidRPr="00026D95">
        <w:t>a</w:t>
      </w:r>
      <w:r w:rsidRPr="00026D95">
        <w:t xml:space="preserve">veur du </w:t>
      </w:r>
      <w:r w:rsidRPr="00026D95">
        <w:rPr>
          <w:i/>
        </w:rPr>
        <w:t xml:space="preserve">workfare. </w:t>
      </w:r>
      <w:r w:rsidRPr="00026D95">
        <w:t>Une première argumentation est fondée sur le contrôle et insiste sur les individus, la dépendance et les mes</w:t>
      </w:r>
      <w:r w:rsidRPr="00026D95">
        <w:t>u</w:t>
      </w:r>
      <w:r w:rsidRPr="00026D95">
        <w:t>res incitatives. Une autre se pose en termes de marché du travail et est centrée sur les contraintes propres aux marchés, sur la flexibilité et sur les qualifications. Une troisième argumentation d'ordre budgétaire ce</w:t>
      </w:r>
      <w:r w:rsidRPr="00026D95">
        <w:t>l</w:t>
      </w:r>
      <w:r w:rsidRPr="00026D95">
        <w:t>le-là, privilégie la réduction des dépenses sociales. Enfin, nous retro</w:t>
      </w:r>
      <w:r w:rsidRPr="00026D95">
        <w:t>u</w:t>
      </w:r>
      <w:r w:rsidRPr="00026D95">
        <w:t>vons une argumentation plus proprement politique qui souligne la pl</w:t>
      </w:r>
      <w:r w:rsidRPr="00026D95">
        <w:t>a</w:t>
      </w:r>
      <w:r w:rsidRPr="00026D95">
        <w:t>ce du travail et du salaire dans la définition de la citoyenneté.</w:t>
      </w:r>
      <w:r>
        <w:t> </w:t>
      </w:r>
      <w:r w:rsidRPr="00026D95">
        <w:rPr>
          <w:rStyle w:val="Appelnotedebasdep"/>
        </w:rPr>
        <w:footnoteReference w:id="72"/>
      </w:r>
    </w:p>
    <w:p w:rsidR="00F35523" w:rsidRDefault="00F35523" w:rsidP="00F35523">
      <w:pPr>
        <w:spacing w:before="120" w:after="120"/>
        <w:jc w:val="both"/>
      </w:pPr>
      <w:r w:rsidRPr="00026D95">
        <w:t>Ces différentes argumentations ne sont pas nécessairement convaincantes, mais elles ont toutes une importance politique évidente dans la définition des programmes st des politiques. Elles jouent de façon très différente dans la façon dont sont menés les débats polit</w:t>
      </w:r>
      <w:r w:rsidRPr="00026D95">
        <w:t>i</w:t>
      </w:r>
      <w:r w:rsidRPr="00026D95">
        <w:t xml:space="preserve">ques en Amérique du Nord et en Europe. Alors que la dépendance est au coeur des débats américains sur le </w:t>
      </w:r>
      <w:r w:rsidRPr="00026D95">
        <w:rPr>
          <w:i/>
        </w:rPr>
        <w:t xml:space="preserve">workfare, </w:t>
      </w:r>
      <w:r w:rsidRPr="00026D95">
        <w:t>la reche</w:t>
      </w:r>
      <w:r w:rsidRPr="00026D95">
        <w:t>r</w:t>
      </w:r>
      <w:r w:rsidRPr="00026D95">
        <w:t>che de la flexibilité dans les marchés du travail occupe une place prédominante en Europe. Les différences signalées plus haut entre les types d’État-Providence rendent bien compte de ces variations. L'argumentation de la dépendance — selon laquelle des mesures actives peuvent contr</w:t>
      </w:r>
      <w:r w:rsidRPr="00026D95">
        <w:t>e</w:t>
      </w:r>
      <w:r w:rsidRPr="00026D95">
        <w:t>carrer la tendance des bénéf</w:t>
      </w:r>
      <w:r w:rsidRPr="00026D95">
        <w:t>i</w:t>
      </w:r>
      <w:r w:rsidRPr="00026D95">
        <w:t>ciaires à s'accrocher aux programmes d'aide — n'est finalement pas tant américaine que libérale. De la m</w:t>
      </w:r>
      <w:r w:rsidRPr="00026D95">
        <w:t>ê</w:t>
      </w:r>
      <w:r w:rsidRPr="00026D95">
        <w:t>me façon, l'argumentation en termes de marché du travail — qui insi</w:t>
      </w:r>
      <w:r w:rsidRPr="00026D95">
        <w:t>s</w:t>
      </w:r>
      <w:r w:rsidRPr="00026D95">
        <w:t>te plus sur la nature structurelle du chômage — est typique des États-providence conservateur et social-démocrate.</w:t>
      </w:r>
    </w:p>
    <w:p w:rsidR="00F35523" w:rsidRDefault="00F35523" w:rsidP="00F35523">
      <w:pPr>
        <w:spacing w:before="120" w:after="120"/>
        <w:jc w:val="both"/>
      </w:pPr>
      <w:r w:rsidRPr="00026D95">
        <w:t xml:space="preserve">En somme, les caractéristiques que prendront les mesures de </w:t>
      </w:r>
      <w:r w:rsidRPr="00026D95">
        <w:rPr>
          <w:i/>
        </w:rPr>
        <w:t>wor</w:t>
      </w:r>
      <w:r w:rsidRPr="00026D95">
        <w:rPr>
          <w:i/>
        </w:rPr>
        <w:t>k</w:t>
      </w:r>
      <w:r w:rsidRPr="00026D95">
        <w:rPr>
          <w:i/>
        </w:rPr>
        <w:t xml:space="preserve">fare </w:t>
      </w:r>
      <w:r w:rsidRPr="00026D95">
        <w:t>refl</w:t>
      </w:r>
      <w:r w:rsidRPr="00026D95">
        <w:t>è</w:t>
      </w:r>
      <w:r w:rsidRPr="00026D95">
        <w:t>tent la tension qui existe entre des logiques d'intervention définies au sein de chaque type d’État-Providence. C'est ainsi que l'on peut dire que chaque type d’État-Providence semble plutôt propice à produire des politiques qui, de façon particulière traduisent une te</w:t>
      </w:r>
      <w:r w:rsidRPr="00026D95">
        <w:t>n</w:t>
      </w:r>
      <w:r w:rsidRPr="00026D95">
        <w:t>sion entre deux logiques d'intervention, sachant que l'opposition bip</w:t>
      </w:r>
      <w:r w:rsidRPr="00026D95">
        <w:t>o</w:t>
      </w:r>
      <w:r w:rsidRPr="00026D95">
        <w:t>laire [77] qui se manifeste diffère d'un type à l'autre. Ce que nous a</w:t>
      </w:r>
      <w:r w:rsidRPr="00026D95">
        <w:t>l</w:t>
      </w:r>
      <w:r w:rsidRPr="00026D95">
        <w:t xml:space="preserve">lons illustrer pour le </w:t>
      </w:r>
      <w:r w:rsidRPr="00026D95">
        <w:rPr>
          <w:i/>
        </w:rPr>
        <w:t>workfare.</w:t>
      </w:r>
    </w:p>
    <w:p w:rsidR="00F35523" w:rsidRDefault="00F35523" w:rsidP="00F35523">
      <w:pPr>
        <w:spacing w:before="120" w:after="120"/>
        <w:jc w:val="both"/>
      </w:pPr>
    </w:p>
    <w:p w:rsidR="00F35523" w:rsidRDefault="00F35523" w:rsidP="00F35523">
      <w:pPr>
        <w:spacing w:before="120" w:after="120"/>
        <w:jc w:val="both"/>
      </w:pPr>
    </w:p>
    <w:p w:rsidR="00F35523" w:rsidRPr="00B3106F" w:rsidRDefault="00F35523" w:rsidP="00F35523">
      <w:pPr>
        <w:pStyle w:val="bb"/>
      </w:pPr>
      <w:r w:rsidRPr="00B3106F">
        <w:t>Une caractérisation</w:t>
      </w:r>
      <w:r>
        <w:t xml:space="preserve"> </w:t>
      </w:r>
      <w:r w:rsidRPr="00B3106F">
        <w:t>différenciée du workfare :</w:t>
      </w:r>
      <w:r w:rsidRPr="00B3106F">
        <w:br/>
        <w:t>le triangle des arbitrages</w:t>
      </w:r>
    </w:p>
    <w:p w:rsidR="00F35523" w:rsidRDefault="00F35523" w:rsidP="00F35523">
      <w:pPr>
        <w:spacing w:before="120" w:after="120"/>
        <w:jc w:val="both"/>
      </w:pPr>
    </w:p>
    <w:p w:rsidR="00F35523" w:rsidRDefault="00F35523" w:rsidP="00F35523">
      <w:pPr>
        <w:spacing w:before="120" w:after="120"/>
        <w:jc w:val="both"/>
      </w:pPr>
      <w:r w:rsidRPr="00026D95">
        <w:t>L’État-Providence libéral s'occupe du chômage de longue durée et de la pauvreté essentiellement par le biais de l'aide sociale, un pr</w:t>
      </w:r>
      <w:r w:rsidRPr="00026D95">
        <w:t>o</w:t>
      </w:r>
      <w:r w:rsidRPr="00026D95">
        <w:t>gramme de type résiduel destiné à ceux qui sont incapables de s'ass</w:t>
      </w:r>
      <w:r w:rsidRPr="00026D95">
        <w:t>u</w:t>
      </w:r>
      <w:r w:rsidRPr="00026D95">
        <w:t>rer un revenu par leur travail ou une autre source. Cette aide de de</w:t>
      </w:r>
      <w:r w:rsidRPr="00026D95">
        <w:t>r</w:t>
      </w:r>
      <w:r w:rsidRPr="00026D95">
        <w:t>nier recours implique un examen de ressources et ouvre tout nature</w:t>
      </w:r>
      <w:r w:rsidRPr="00026D95">
        <w:t>l</w:t>
      </w:r>
      <w:r w:rsidRPr="00026D95">
        <w:t xml:space="preserve">lement la voie au </w:t>
      </w:r>
      <w:r w:rsidRPr="00026D95">
        <w:rPr>
          <w:i/>
        </w:rPr>
        <w:t xml:space="preserve">workfare. </w:t>
      </w:r>
      <w:r w:rsidRPr="00026D95">
        <w:t>Le travail obligato</w:t>
      </w:r>
      <w:r w:rsidRPr="00026D95">
        <w:t>i</w:t>
      </w:r>
      <w:r w:rsidRPr="00026D95">
        <w:t>re est d'ailleurs l'une des plus anciennes façons de tester le « mérite » des bén</w:t>
      </w:r>
      <w:r w:rsidRPr="00026D95">
        <w:t>é</w:t>
      </w:r>
      <w:r w:rsidRPr="00026D95">
        <w:t>ficiaires. De plus, la compréhension libérale et individualiste de la pauvreté enco</w:t>
      </w:r>
      <w:r w:rsidRPr="00026D95">
        <w:t>u</w:t>
      </w:r>
      <w:r w:rsidRPr="00026D95">
        <w:t>rage la recherche de solutions qui visent à modifier le comportement indiv</w:t>
      </w:r>
      <w:r w:rsidRPr="00026D95">
        <w:t>i</w:t>
      </w:r>
      <w:r w:rsidRPr="00026D95">
        <w:t xml:space="preserve">duel. Le </w:t>
      </w:r>
      <w:r w:rsidRPr="00026D95">
        <w:rPr>
          <w:i/>
        </w:rPr>
        <w:t xml:space="preserve">workfare </w:t>
      </w:r>
      <w:r w:rsidRPr="00026D95">
        <w:t>peut aussi jouer ce rôle. Cela étant dit, l’État-providence lib</w:t>
      </w:r>
      <w:r w:rsidRPr="00026D95">
        <w:t>é</w:t>
      </w:r>
      <w:r w:rsidRPr="00026D95">
        <w:t>ral se caractérise également par sa réticence à dépenser dans le domaine social et par sa propension à ne pas investir suff</w:t>
      </w:r>
      <w:r w:rsidRPr="00026D95">
        <w:t>i</w:t>
      </w:r>
      <w:r w:rsidRPr="00026D95">
        <w:t xml:space="preserve">samment dans le </w:t>
      </w:r>
      <w:r w:rsidRPr="00026D95">
        <w:rPr>
          <w:i/>
        </w:rPr>
        <w:t xml:space="preserve">workfare, </w:t>
      </w:r>
      <w:r w:rsidRPr="00026D95">
        <w:t>même si l'approche est perçue comme ut</w:t>
      </w:r>
      <w:r w:rsidRPr="00026D95">
        <w:t>i</w:t>
      </w:r>
      <w:r w:rsidRPr="00026D95">
        <w:t xml:space="preserve">le. Là se trouve la tension fondamentale dans la définition du </w:t>
      </w:r>
      <w:r w:rsidRPr="00026D95">
        <w:rPr>
          <w:i/>
        </w:rPr>
        <w:t xml:space="preserve">workfare </w:t>
      </w:r>
      <w:r w:rsidRPr="00026D95">
        <w:t>au sein de l’État-Providence libéral : l’approche est i</w:t>
      </w:r>
      <w:r w:rsidRPr="00026D95">
        <w:t>n</w:t>
      </w:r>
      <w:r w:rsidRPr="00026D95">
        <w:t>vestie d'une mission de contrôle disciplinaire des individus, mais des considér</w:t>
      </w:r>
      <w:r w:rsidRPr="00026D95">
        <w:t>a</w:t>
      </w:r>
      <w:r w:rsidRPr="00026D95">
        <w:t>tions budgétaires limitent sa mise en œuvre. C'est pourquoi le caract</w:t>
      </w:r>
      <w:r w:rsidRPr="00026D95">
        <w:t>è</w:t>
      </w:r>
      <w:r w:rsidRPr="00026D95">
        <w:t>re punitif des mesures est amplifié, alors que les résultats au chapitre de l'employabilité peuvent apparaître dérisoires.</w:t>
      </w:r>
    </w:p>
    <w:p w:rsidR="00F35523" w:rsidRDefault="00F35523" w:rsidP="00F35523">
      <w:pPr>
        <w:spacing w:before="120" w:after="120"/>
        <w:jc w:val="both"/>
      </w:pPr>
      <w:r w:rsidRPr="00026D95">
        <w:t xml:space="preserve">L’État-Providence conservateur fait face à une tension semblable. Le </w:t>
      </w:r>
      <w:r w:rsidRPr="00026D95">
        <w:rPr>
          <w:i/>
        </w:rPr>
        <w:t>wor</w:t>
      </w:r>
      <w:r w:rsidRPr="00026D95">
        <w:rPr>
          <w:i/>
        </w:rPr>
        <w:t>k</w:t>
      </w:r>
      <w:r w:rsidRPr="00026D95">
        <w:rPr>
          <w:i/>
        </w:rPr>
        <w:t xml:space="preserve">fare </w:t>
      </w:r>
      <w:r w:rsidRPr="00026D95">
        <w:t>est ici moins un instrument de contrôle des populations qu'une approche utile pour faciliter les adaptations au marché du tr</w:t>
      </w:r>
      <w:r w:rsidRPr="00026D95">
        <w:t>a</w:t>
      </w:r>
      <w:r w:rsidRPr="00026D95">
        <w:t>vail ou pour réintégrer les exclus ; en contrepartie, les mesures d'e</w:t>
      </w:r>
      <w:r w:rsidRPr="00026D95">
        <w:t>m</w:t>
      </w:r>
      <w:r w:rsidRPr="00026D95">
        <w:t xml:space="preserve">ployabilité ou de </w:t>
      </w:r>
      <w:r w:rsidRPr="00026D95">
        <w:rPr>
          <w:i/>
        </w:rPr>
        <w:t xml:space="preserve">workfare </w:t>
      </w:r>
      <w:r w:rsidRPr="00026D95">
        <w:t>apparai</w:t>
      </w:r>
      <w:r w:rsidRPr="00026D95">
        <w:t>s</w:t>
      </w:r>
      <w:r w:rsidRPr="00026D95">
        <w:t>sent suffisamment coûteuses pour ne pas être pleinement déployées. Contrair</w:t>
      </w:r>
      <w:r w:rsidRPr="00026D95">
        <w:t>e</w:t>
      </w:r>
      <w:r w:rsidRPr="00026D95">
        <w:t>ment à l'État-providence libéral, l'État conservateur donne une définition large aux programmes sociaux, qu'on tend à associer à des catégories de la population plutôt qu'à des individus. En Allemagne, par exemple, les fonctionnaires ont leurs propres programmes et ne contribuent pas au Bundesanstalt (l’Institut fédéral de l'emploi et de l'assurance-chômage).</w:t>
      </w:r>
      <w:r>
        <w:t> </w:t>
      </w:r>
      <w:r w:rsidRPr="00026D95">
        <w:rPr>
          <w:rStyle w:val="Appelnotedebasdep"/>
        </w:rPr>
        <w:footnoteReference w:id="73"/>
      </w:r>
      <w:r w:rsidRPr="00026D95">
        <w:t xml:space="preserve"> En Fra</w:t>
      </w:r>
      <w:r w:rsidRPr="00026D95">
        <w:t>n</w:t>
      </w:r>
      <w:r w:rsidRPr="00026D95">
        <w:t>ce, une série de programmes protègent les différentes catégories de la population (les personnes âgées, les handicapés, les mères célibata</w:t>
      </w:r>
      <w:r w:rsidRPr="00026D95">
        <w:t>i</w:t>
      </w:r>
      <w:r w:rsidRPr="00026D95">
        <w:t>res, les chômeurs de longue durée, etc.) ; le Revenu minimum d'inse</w:t>
      </w:r>
      <w:r w:rsidRPr="00026D95">
        <w:t>r</w:t>
      </w:r>
      <w:r w:rsidRPr="00026D95">
        <w:t>tion n'a été ajouté qu'en 1988, pour combler les trous qui restaient dans le [78] filet de la sécurité sociale.</w:t>
      </w:r>
      <w:r>
        <w:t> </w:t>
      </w:r>
      <w:r w:rsidRPr="00026D95">
        <w:rPr>
          <w:rStyle w:val="Appelnotedebasdep"/>
        </w:rPr>
        <w:footnoteReference w:id="74"/>
      </w:r>
      <w:r w:rsidRPr="00026D95">
        <w:t xml:space="preserve"> Destinés à des catégories d</w:t>
      </w:r>
      <w:r w:rsidRPr="00026D95">
        <w:t>i</w:t>
      </w:r>
      <w:r w:rsidRPr="00026D95">
        <w:t>verses, les services sociaux et la sécurité du revenu de l'État-providence conservateur font l'objet d'arbitrages constants. Ainsi le désir d'améliorer les qualifications et de faciliter l'adaptation au ma</w:t>
      </w:r>
      <w:r w:rsidRPr="00026D95">
        <w:t>r</w:t>
      </w:r>
      <w:r w:rsidRPr="00026D95">
        <w:t>ché du travail a-t-il tendance à être contrebalancé par diverses prior</w:t>
      </w:r>
      <w:r w:rsidRPr="00026D95">
        <w:t>i</w:t>
      </w:r>
      <w:r w:rsidRPr="00026D95">
        <w:t>tés redistribut</w:t>
      </w:r>
      <w:r w:rsidRPr="00026D95">
        <w:t>i</w:t>
      </w:r>
      <w:r w:rsidRPr="00026D95">
        <w:t>ves. Le dilemme adaptation-coût oriente donc la plupart des débats sur les politiques du marché du travail.</w:t>
      </w:r>
      <w:r>
        <w:t> </w:t>
      </w:r>
      <w:r w:rsidRPr="00026D95">
        <w:rPr>
          <w:rStyle w:val="Appelnotedebasdep"/>
        </w:rPr>
        <w:footnoteReference w:id="75"/>
      </w:r>
    </w:p>
    <w:p w:rsidR="00F35523" w:rsidRDefault="00F35523" w:rsidP="00F35523">
      <w:pPr>
        <w:spacing w:before="120" w:after="120"/>
        <w:jc w:val="both"/>
      </w:pPr>
      <w:r w:rsidRPr="00026D95">
        <w:t>Ayant eu plus de succès jusqu'à récemment dans la recherche du plein e</w:t>
      </w:r>
      <w:r w:rsidRPr="00026D95">
        <w:t>m</w:t>
      </w:r>
      <w:r w:rsidRPr="00026D95">
        <w:t>ploi ou d'un niveau élevé d'emploi et étant également plus engagé à maintenir des politiques actives concernant le marché du tr</w:t>
      </w:r>
      <w:r w:rsidRPr="00026D95">
        <w:t>a</w:t>
      </w:r>
      <w:r w:rsidRPr="00026D95">
        <w:t>vail, l’État-providence social-démocrate a pour l'essentiel échappé aux contraintes budgétaires qui ont pesé sur les intentions en matière d'employabilité dans les États-providence conse</w:t>
      </w:r>
      <w:r w:rsidRPr="00026D95">
        <w:t>r</w:t>
      </w:r>
      <w:r w:rsidRPr="00026D95">
        <w:t>vateur et libéral. Le niveau des dépenses n'était pas un enjeu central. Même r</w:t>
      </w:r>
      <w:r w:rsidRPr="00026D95">
        <w:t>é</w:t>
      </w:r>
      <w:r w:rsidRPr="00026D95">
        <w:t>cemment, et malgré des taux de chômage plus élevés, les contraintes budgéta</w:t>
      </w:r>
      <w:r w:rsidRPr="00026D95">
        <w:t>i</w:t>
      </w:r>
      <w:r w:rsidRPr="00026D95">
        <w:t>res n'obligent pas à une remise en question des politiques actives du ma</w:t>
      </w:r>
      <w:r w:rsidRPr="00026D95">
        <w:t>r</w:t>
      </w:r>
      <w:r w:rsidRPr="00026D95">
        <w:t>ché a</w:t>
      </w:r>
      <w:r w:rsidRPr="00026D95">
        <w:t>p</w:t>
      </w:r>
      <w:r w:rsidRPr="00026D95">
        <w:t>pliquées au travail, parce que celles-ci sont perçues comme des instruments contracycliques et institutionnalisés à ce titre.</w:t>
      </w:r>
      <w:r>
        <w:t> </w:t>
      </w:r>
      <w:r w:rsidRPr="00026D95">
        <w:rPr>
          <w:rStyle w:val="Appelnotedebasdep"/>
        </w:rPr>
        <w:footnoteReference w:id="76"/>
      </w:r>
      <w:r w:rsidRPr="00026D95">
        <w:t xml:space="preserve"> La te</w:t>
      </w:r>
      <w:r w:rsidRPr="00026D95">
        <w:t>n</w:t>
      </w:r>
      <w:r w:rsidRPr="00026D95">
        <w:t>sion centrale dans l'État-providence social-démocrate tient d'un équ</w:t>
      </w:r>
      <w:r w:rsidRPr="00026D95">
        <w:t>i</w:t>
      </w:r>
      <w:r w:rsidRPr="00026D95">
        <w:t>libre délicat à maintenir entre les objectifs associés au marché du tr</w:t>
      </w:r>
      <w:r w:rsidRPr="00026D95">
        <w:t>a</w:t>
      </w:r>
      <w:r w:rsidRPr="00026D95">
        <w:t>vail et la préservation de l’autonomie indiv</w:t>
      </w:r>
      <w:r w:rsidRPr="00026D95">
        <w:t>i</w:t>
      </w:r>
      <w:r w:rsidRPr="00026D95">
        <w:t>duelle. Pour la plupart des programmes sociaux, l’État-providence social-démocrate combine des transferts généreux avec des interventions distantes : l’universalité sépare la redistribution des caractéristiques individuelles. Les inte</w:t>
      </w:r>
      <w:r w:rsidRPr="00026D95">
        <w:t>r</w:t>
      </w:r>
      <w:r w:rsidRPr="00026D95">
        <w:t>ventions sur le marché du travail, cependant, comportent une forte composante individuelle et revêtent même souvent un caractère obl</w:t>
      </w:r>
      <w:r w:rsidRPr="00026D95">
        <w:t>i</w:t>
      </w:r>
      <w:r w:rsidRPr="00026D95">
        <w:t>gatoire, particuli</w:t>
      </w:r>
      <w:r w:rsidRPr="00026D95">
        <w:t>è</w:t>
      </w:r>
      <w:r w:rsidRPr="00026D95">
        <w:t>rement lorsque peu de chômeurs peuvent bénéficier de programmes de soutien. Pour tempérer cette tension, les sociaux-démocrates ont confié un rôle impo</w:t>
      </w:r>
      <w:r w:rsidRPr="00026D95">
        <w:t>r</w:t>
      </w:r>
      <w:r w:rsidRPr="00026D95">
        <w:t>tant aux syndicats relativement à l'administration des programmes destinés au marché du travail.</w:t>
      </w:r>
      <w:r w:rsidRPr="00026D95">
        <w:rPr>
          <w:rStyle w:val="Appelnotedebasdep"/>
        </w:rPr>
        <w:footnoteReference w:id="77"/>
      </w:r>
      <w:r w:rsidRPr="00026D95">
        <w:t xml:space="preserve"> La difficulté n'en demeure pas moins significative.</w:t>
      </w:r>
    </w:p>
    <w:p w:rsidR="00F35523" w:rsidRDefault="00F35523" w:rsidP="00F35523">
      <w:pPr>
        <w:spacing w:before="120" w:after="120"/>
        <w:jc w:val="both"/>
      </w:pPr>
      <w:r w:rsidRPr="00026D95">
        <w:t xml:space="preserve">La figure suivante résume les différents principes d'argumentation en faveur du </w:t>
      </w:r>
      <w:r w:rsidRPr="00026D95">
        <w:rPr>
          <w:i/>
        </w:rPr>
        <w:t xml:space="preserve">workfare, </w:t>
      </w:r>
      <w:r w:rsidRPr="00026D95">
        <w:t>selon une représentation qui suggère qu'il y a pour l'essentiel trois idées de base en jeu, ces idées étant combinées de [79] façon différente en fon</w:t>
      </w:r>
      <w:r w:rsidRPr="00026D95">
        <w:t>c</w:t>
      </w:r>
      <w:r w:rsidRPr="00026D95">
        <w:t>tion du type d’État-Providence dont un pays a hérité.</w:t>
      </w:r>
      <w:r>
        <w:t> </w:t>
      </w:r>
      <w:r w:rsidRPr="00026D95">
        <w:rPr>
          <w:rStyle w:val="Appelnotedebasdep"/>
        </w:rPr>
        <w:footnoteReference w:id="78"/>
      </w:r>
    </w:p>
    <w:p w:rsidR="00F35523" w:rsidRDefault="0044725F" w:rsidP="00F35523">
      <w:pPr>
        <w:pStyle w:val="fig"/>
      </w:pPr>
      <w:r>
        <w:rPr>
          <w:noProof/>
        </w:rPr>
        <w:drawing>
          <wp:inline distT="0" distB="0" distL="0" distR="0">
            <wp:extent cx="5016500" cy="4800600"/>
            <wp:effectExtent l="25400" t="25400" r="12700" b="12700"/>
            <wp:docPr id="6" name="Image 6" descr="Figure_p_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Figure_p_79"/>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16500" cy="4800600"/>
                    </a:xfrm>
                    <a:prstGeom prst="rect">
                      <a:avLst/>
                    </a:prstGeom>
                    <a:noFill/>
                    <a:ln w="19050" cmpd="sng">
                      <a:solidFill>
                        <a:srgbClr val="000000"/>
                      </a:solidFill>
                      <a:miter lim="800000"/>
                      <a:headEnd/>
                      <a:tailEnd/>
                    </a:ln>
                    <a:effectLst/>
                  </pic:spPr>
                </pic:pic>
              </a:graphicData>
            </a:graphic>
          </wp:inline>
        </w:drawing>
      </w:r>
    </w:p>
    <w:p w:rsidR="00F35523" w:rsidRPr="007879A5" w:rsidRDefault="00F35523" w:rsidP="00F35523">
      <w:pPr>
        <w:jc w:val="both"/>
        <w:rPr>
          <w:sz w:val="18"/>
        </w:rPr>
      </w:pPr>
    </w:p>
    <w:p w:rsidR="00F35523" w:rsidRDefault="00F35523" w:rsidP="00F35523">
      <w:pPr>
        <w:spacing w:before="120" w:after="120"/>
        <w:jc w:val="both"/>
      </w:pPr>
      <w:r w:rsidRPr="00026D95">
        <w:t>Dans l'ensemble, l'État-providence libéral accorde peu d'importa</w:t>
      </w:r>
      <w:r w:rsidRPr="00026D95">
        <w:t>n</w:t>
      </w:r>
      <w:r w:rsidRPr="00026D95">
        <w:t>ce aux o</w:t>
      </w:r>
      <w:r w:rsidRPr="00026D95">
        <w:t>b</w:t>
      </w:r>
      <w:r w:rsidRPr="00026D95">
        <w:t xml:space="preserve">jectifs d'adaptation ou d'intégration au marché du travail. On s'y préoccupe plus des motivations des individus qui reçoivent l'aide sociale et on voit dans le </w:t>
      </w:r>
      <w:r w:rsidRPr="00026D95">
        <w:rPr>
          <w:i/>
        </w:rPr>
        <w:t xml:space="preserve">workfare </w:t>
      </w:r>
      <w:r w:rsidRPr="00026D95">
        <w:t>un outil valable pour changer ces motivations et influencer les comportements. En même temps, la fa</w:t>
      </w:r>
      <w:r w:rsidRPr="00026D95">
        <w:t>i</w:t>
      </w:r>
      <w:r w:rsidRPr="00026D95">
        <w:t>ble priorité accordée à la sécurité du revenu prévient ces mêmes États d'investir suffisamment pour transformer « l’aide s</w:t>
      </w:r>
      <w:r w:rsidRPr="00026D95">
        <w:t>o</w:t>
      </w:r>
      <w:r w:rsidRPr="00026D95">
        <w:t>ciale telle qu'on connaît » (pour reprendre les termes du président Clinton). Les polit</w:t>
      </w:r>
      <w:r w:rsidRPr="00026D95">
        <w:t>i</w:t>
      </w:r>
      <w:r w:rsidRPr="00026D95">
        <w:t>ques libérales expriment cette tension et sont marquées par une hésit</w:t>
      </w:r>
      <w:r w:rsidRPr="00026D95">
        <w:t>a</w:t>
      </w:r>
      <w:r w:rsidRPr="00026D95">
        <w:t>tion continue entre des objectifs comportementaux ambitieux et so</w:t>
      </w:r>
      <w:r w:rsidRPr="00026D95">
        <w:t>u</w:t>
      </w:r>
      <w:r w:rsidRPr="00026D95">
        <w:t>vent répétés, d'une part, et des engagements budgétaires modestes, d'autre part.</w:t>
      </w:r>
      <w:r>
        <w:t> </w:t>
      </w:r>
      <w:r w:rsidRPr="00026D95">
        <w:rPr>
          <w:rStyle w:val="Appelnotedebasdep"/>
        </w:rPr>
        <w:footnoteReference w:id="79"/>
      </w:r>
      <w:r w:rsidRPr="00026D95">
        <w:t xml:space="preserve"> Compte tenu de la difficulté politique de définir et d'adopter des [80] réformes ambitie</w:t>
      </w:r>
      <w:r w:rsidRPr="00026D95">
        <w:t>u</w:t>
      </w:r>
      <w:r w:rsidRPr="00026D95">
        <w:t xml:space="preserve">ses, le résultat le plus probable est un effort modeste de </w:t>
      </w:r>
      <w:r w:rsidRPr="00026D95">
        <w:rPr>
          <w:i/>
        </w:rPr>
        <w:t xml:space="preserve">workfare, </w:t>
      </w:r>
      <w:r w:rsidRPr="00026D95">
        <w:t>effort qui ri</w:t>
      </w:r>
      <w:r w:rsidRPr="00026D95">
        <w:t>s</w:t>
      </w:r>
      <w:r w:rsidRPr="00026D95">
        <w:t>que d'être au mieux efficace pour quelques-uns, mais généralement inutile et décour</w:t>
      </w:r>
      <w:r w:rsidRPr="00026D95">
        <w:t>a</w:t>
      </w:r>
      <w:r w:rsidRPr="00026D95">
        <w:t>geant. Il s'agit là déplore Judith M. Gueron, de la « réforme des pr</w:t>
      </w:r>
      <w:r w:rsidRPr="00026D95">
        <w:t>o</w:t>
      </w:r>
      <w:r w:rsidRPr="00026D95">
        <w:t>grammes sociaux telle qu'on la connaît : un programme national mal financé, des changements réels limités, des questions sans réponse à propos du potentiel de nouvelles initiatives et un public encore plus désabusé ».</w:t>
      </w:r>
      <w:r>
        <w:t> </w:t>
      </w:r>
      <w:r w:rsidRPr="00026D95">
        <w:rPr>
          <w:rStyle w:val="Appelnotedebasdep"/>
        </w:rPr>
        <w:footnoteReference w:id="80"/>
      </w:r>
    </w:p>
    <w:p w:rsidR="00F35523" w:rsidRPr="00026D95" w:rsidRDefault="00F35523" w:rsidP="00F35523">
      <w:pPr>
        <w:spacing w:before="120" w:after="120"/>
        <w:jc w:val="both"/>
      </w:pPr>
      <w:r w:rsidRPr="00026D95">
        <w:t>La tension qui traverse l'État-providence conservateur se manifeste aussi par un manque de financement, qui laisse de nombreux dema</w:t>
      </w:r>
      <w:r w:rsidRPr="00026D95">
        <w:t>n</w:t>
      </w:r>
      <w:r w:rsidRPr="00026D95">
        <w:t>deurs sans accès aux différents programmes. En France, par exemple, les contrats d'insertion ne sont pas accessibles à tous ceux qui pou</w:t>
      </w:r>
      <w:r w:rsidRPr="00026D95">
        <w:t>r</w:t>
      </w:r>
      <w:r w:rsidRPr="00026D95">
        <w:t>raient s'en prévaloir. En Allemagne, le même dilemme est institutio</w:t>
      </w:r>
      <w:r w:rsidRPr="00026D95">
        <w:t>n</w:t>
      </w:r>
      <w:r w:rsidRPr="00026D95">
        <w:t>nalisé dans les deux rôles opposés du Bundesanstalt : responsable tant de la formation professionnelle que des prestations d'assura</w:t>
      </w:r>
      <w:r w:rsidRPr="00026D95">
        <w:t>n</w:t>
      </w:r>
      <w:r w:rsidRPr="00026D95">
        <w:t>ce-chômage l'Institut fédéral du travail voit sa capacité de poursuivre des politiques actives limitée par la montée des dépenses passives, préc</w:t>
      </w:r>
      <w:r w:rsidRPr="00026D95">
        <w:t>i</w:t>
      </w:r>
      <w:r w:rsidRPr="00026D95">
        <w:t>sément lorsque les politiques actives sont les plus nécessaires, en p</w:t>
      </w:r>
      <w:r w:rsidRPr="00026D95">
        <w:t>é</w:t>
      </w:r>
      <w:r w:rsidRPr="00026D95">
        <w:t>riode de chômage élevé (« sauf si le gouvernement fédéral lui-même est prêt à financer les dépenses additionnelles engendrées par la cr</w:t>
      </w:r>
      <w:r w:rsidRPr="00026D95">
        <w:t>i</w:t>
      </w:r>
      <w:r w:rsidRPr="00026D95">
        <w:t>se »).</w:t>
      </w:r>
      <w:r>
        <w:t> </w:t>
      </w:r>
      <w:r w:rsidRPr="00026D95">
        <w:rPr>
          <w:rStyle w:val="Appelnotedebasdep"/>
        </w:rPr>
        <w:footnoteReference w:id="81"/>
      </w:r>
      <w:r w:rsidRPr="00026D95">
        <w:t xml:space="preserve"> Cette tension entre l'adaptation et les objectifs budgétaires se traduit également par une tendance, typique à l'État-providence conservateur, à limiter les programmes les plus utiles à des catég</w:t>
      </w:r>
      <w:r w:rsidRPr="00026D95">
        <w:t>o</w:t>
      </w:r>
      <w:r w:rsidRPr="00026D95">
        <w:t>ries particulières de la population, créant ainsi des marchés du travail qui pe</w:t>
      </w:r>
      <w:r w:rsidRPr="00026D95">
        <w:t>u</w:t>
      </w:r>
      <w:r w:rsidRPr="00026D95">
        <w:t>vent être flexibles, mais qui demeurent segmentés.</w:t>
      </w:r>
      <w:r>
        <w:t> </w:t>
      </w:r>
      <w:r w:rsidRPr="00026D95">
        <w:rPr>
          <w:rStyle w:val="Appelnotedebasdep"/>
        </w:rPr>
        <w:footnoteReference w:id="82"/>
      </w:r>
    </w:p>
    <w:p w:rsidR="00F35523" w:rsidRDefault="00F35523" w:rsidP="00F35523">
      <w:pPr>
        <w:spacing w:before="120" w:after="120"/>
        <w:jc w:val="both"/>
      </w:pPr>
      <w:r w:rsidRPr="00026D95">
        <w:t>Les coûts demeurent aussi une préoccupation pour l'État-providence social-démocrate, mais celui-ci échappe dans une large mesure aux tensions définies plus haut, parce que les dépenses ass</w:t>
      </w:r>
      <w:r w:rsidRPr="00026D95">
        <w:t>o</w:t>
      </w:r>
      <w:r w:rsidRPr="00026D95">
        <w:t>ciées aux politiques concernant le marché du travail ont tendance à être institutionnalisées sous forme de droits. Ces États font néanmoins face à une tension qui leur est propre, définie plus haut comme une tension entre l'interventionnisme et le paternalisme. Des trois tensions il s'agit sans doute de la moins problématique, puisque de nombreux programmes à caractère universel contrebalancent les pressions pote</w:t>
      </w:r>
      <w:r w:rsidRPr="00026D95">
        <w:t>n</w:t>
      </w:r>
      <w:r w:rsidRPr="00026D95">
        <w:t>tiellement [81] exe</w:t>
      </w:r>
      <w:r w:rsidRPr="00026D95">
        <w:t>r</w:t>
      </w:r>
      <w:r w:rsidRPr="00026D95">
        <w:t>cées sur les individus par les politiques visant le marché du travail.</w:t>
      </w:r>
      <w:r>
        <w:t> </w:t>
      </w:r>
      <w:r w:rsidRPr="00026D95">
        <w:rPr>
          <w:rStyle w:val="Appelnotedebasdep"/>
        </w:rPr>
        <w:footnoteReference w:id="83"/>
      </w:r>
      <w:r w:rsidRPr="00026D95">
        <w:t xml:space="preserve"> Il n'en demeure pas moins que la recherche act</w:t>
      </w:r>
      <w:r w:rsidRPr="00026D95">
        <w:t>i</w:t>
      </w:r>
      <w:r w:rsidRPr="00026D95">
        <w:t>ve de flexibilité sur les marchés du tr</w:t>
      </w:r>
      <w:r w:rsidRPr="00026D95">
        <w:t>a</w:t>
      </w:r>
      <w:r w:rsidRPr="00026D95">
        <w:t>vail, combinée avec des services intensifs et individualisés pour les chômeurs, peut conduire à une pe</w:t>
      </w:r>
      <w:r w:rsidRPr="00026D95">
        <w:t>r</w:t>
      </w:r>
      <w:r w:rsidRPr="00026D95">
        <w:t>te de contrôle, à un « trou noir » démocratique. La d</w:t>
      </w:r>
      <w:r w:rsidRPr="00026D95">
        <w:t>é</w:t>
      </w:r>
      <w:r w:rsidRPr="00026D95">
        <w:t>pendance, dans ce cas, prend un sens distinct par rapport aux États libéraux, mais non moins problématique.</w:t>
      </w:r>
      <w:r>
        <w:t> </w:t>
      </w:r>
      <w:r w:rsidRPr="00026D95">
        <w:rPr>
          <w:rStyle w:val="Appelnotedebasdep"/>
        </w:rPr>
        <w:footnoteReference w:id="84"/>
      </w:r>
      <w:r w:rsidRPr="00026D95">
        <w:t xml:space="preserve"> La solution consiste probablement à réintr</w:t>
      </w:r>
      <w:r w:rsidRPr="00026D95">
        <w:t>o</w:t>
      </w:r>
      <w:r w:rsidRPr="00026D95">
        <w:t>duire des choix et de l'autonomie à l'intérieur des institutions de l'État-providence. Une telle solution dépend toutefois de la création de no</w:t>
      </w:r>
      <w:r w:rsidRPr="00026D95">
        <w:t>u</w:t>
      </w:r>
      <w:r w:rsidRPr="00026D95">
        <w:t>veaux al</w:t>
      </w:r>
      <w:r w:rsidRPr="00026D95">
        <w:t>i</w:t>
      </w:r>
      <w:r w:rsidRPr="00026D95">
        <w:t>gnements politiques, plus à même de refléter le caractère postindustriel des s</w:t>
      </w:r>
      <w:r w:rsidRPr="00026D95">
        <w:t>o</w:t>
      </w:r>
      <w:r w:rsidRPr="00026D95">
        <w:t>ciétés social-démocrates.</w:t>
      </w:r>
      <w:r w:rsidRPr="00026D95">
        <w:rPr>
          <w:rStyle w:val="Appelnotedebasdep"/>
        </w:rPr>
        <w:footnoteReference w:id="85"/>
      </w:r>
    </w:p>
    <w:p w:rsidR="00F35523" w:rsidRPr="00026D95" w:rsidRDefault="00F35523" w:rsidP="00F35523">
      <w:pPr>
        <w:spacing w:before="120" w:after="120"/>
        <w:jc w:val="both"/>
      </w:pPr>
    </w:p>
    <w:p w:rsidR="00F35523" w:rsidRDefault="00F35523" w:rsidP="00F35523">
      <w:pPr>
        <w:spacing w:before="120" w:after="120"/>
        <w:jc w:val="both"/>
      </w:pPr>
      <w:r w:rsidRPr="00026D95">
        <w:t xml:space="preserve">En résumé les arguments en faveur du </w:t>
      </w:r>
      <w:r w:rsidRPr="00026D95">
        <w:rPr>
          <w:i/>
        </w:rPr>
        <w:t xml:space="preserve">workfare </w:t>
      </w:r>
      <w:r w:rsidRPr="00026D95">
        <w:t>sont nombreux et ils varient avec les types d’État-Providence que les pays ont instit</w:t>
      </w:r>
      <w:r w:rsidRPr="00026D95">
        <w:t>u</w:t>
      </w:r>
      <w:r w:rsidRPr="00026D95">
        <w:t>tionnalisés, mais ils peuvent tout de même être compris comme fo</w:t>
      </w:r>
      <w:r w:rsidRPr="00026D95">
        <w:t>r</w:t>
      </w:r>
      <w:r w:rsidRPr="00026D95">
        <w:t>mant trois tensions interreliées. Les États libéraux sont pris dans les logiques du contrôle et du laisser-faire, les États conservateurs, dans celles du laisser-faire et de l'adaptation, et les États social-démocrates dans celles de l'adaptation et du contrôle. La situation év</w:t>
      </w:r>
      <w:r w:rsidRPr="00026D95">
        <w:t>i</w:t>
      </w:r>
      <w:r w:rsidRPr="00026D95">
        <w:t>demment se complique lorsque l'on tient compte du caractère mixte de la pl</w:t>
      </w:r>
      <w:r w:rsidRPr="00026D95">
        <w:t>u</w:t>
      </w:r>
      <w:r w:rsidRPr="00026D95">
        <w:t>part des pays.</w:t>
      </w:r>
    </w:p>
    <w:p w:rsidR="00F35523" w:rsidRDefault="00F35523" w:rsidP="00F35523">
      <w:pPr>
        <w:spacing w:before="120" w:after="120"/>
        <w:jc w:val="both"/>
      </w:pPr>
    </w:p>
    <w:p w:rsidR="00F35523" w:rsidRDefault="00F35523" w:rsidP="00F35523">
      <w:pPr>
        <w:pStyle w:val="aa"/>
      </w:pPr>
      <w:bookmarkStart w:id="7" w:name="Restructuration_conclusion"/>
      <w:r w:rsidRPr="00026D95">
        <w:t>Conclusion</w:t>
      </w:r>
    </w:p>
    <w:bookmarkEnd w:id="7"/>
    <w:p w:rsidR="00F35523" w:rsidRDefault="00F35523" w:rsidP="00F35523">
      <w:pPr>
        <w:spacing w:before="120" w:after="120"/>
        <w:jc w:val="both"/>
      </w:pPr>
    </w:p>
    <w:p w:rsidR="00F35523" w:rsidRPr="00384B20" w:rsidRDefault="00F35523" w:rsidP="00F35523">
      <w:pPr>
        <w:ind w:right="90" w:firstLine="0"/>
        <w:jc w:val="both"/>
        <w:rPr>
          <w:sz w:val="20"/>
        </w:rPr>
      </w:pPr>
      <w:hyperlink w:anchor="tdm" w:history="1">
        <w:r w:rsidRPr="00384B20">
          <w:rPr>
            <w:rStyle w:val="Lienhypertexte"/>
            <w:sz w:val="20"/>
          </w:rPr>
          <w:t>Retour à la table des matières</w:t>
        </w:r>
      </w:hyperlink>
    </w:p>
    <w:p w:rsidR="00F35523" w:rsidRDefault="00F35523" w:rsidP="00F35523">
      <w:pPr>
        <w:spacing w:before="120" w:after="120"/>
        <w:jc w:val="both"/>
      </w:pPr>
      <w:r w:rsidRPr="00026D95">
        <w:t>La mondialisation de l'économie, qui s'est imposée et dont les contraintes sont manifestes depuis les années quatre-vingt, pose les conditions de dévelo</w:t>
      </w:r>
      <w:r w:rsidRPr="00026D95">
        <w:t>p</w:t>
      </w:r>
      <w:r w:rsidRPr="00026D95">
        <w:t>pement des sociétés dans des termes renouvelés. Le resserrement de la compét</w:t>
      </w:r>
      <w:r w:rsidRPr="00026D95">
        <w:t>i</w:t>
      </w:r>
      <w:r w:rsidRPr="00026D95">
        <w:t>tion internationale et la nécessité d'y faire face exercent une forte pression pour que soient mis en œuvre des moyens permettant de relever le niveau de comp</w:t>
      </w:r>
      <w:r w:rsidRPr="00026D95">
        <w:t>é</w:t>
      </w:r>
      <w:r w:rsidRPr="00026D95">
        <w:t>titivité.</w:t>
      </w:r>
    </w:p>
    <w:p w:rsidR="00F35523" w:rsidRDefault="00F35523" w:rsidP="00F35523">
      <w:pPr>
        <w:spacing w:before="120" w:after="120"/>
        <w:jc w:val="both"/>
      </w:pPr>
      <w:r w:rsidRPr="00026D95">
        <w:t>La façon de relever le défi varie certainement. Plusieurs outils d'i</w:t>
      </w:r>
      <w:r w:rsidRPr="00026D95">
        <w:t>n</w:t>
      </w:r>
      <w:r w:rsidRPr="00026D95">
        <w:t>tervention publique peuvent être employés dans le but de renforcer la compétitivité de l'économie nationale. Certains pays se tournent su</w:t>
      </w:r>
      <w:r w:rsidRPr="00026D95">
        <w:t>r</w:t>
      </w:r>
      <w:r w:rsidRPr="00026D95">
        <w:t>tout vers la politique indu</w:t>
      </w:r>
      <w:r w:rsidRPr="00026D95">
        <w:t>s</w:t>
      </w:r>
      <w:r w:rsidRPr="00026D95">
        <w:t>trielle ; le rôle de l'État est valorisé dans la mesure où un ensemble de ressou</w:t>
      </w:r>
      <w:r w:rsidRPr="00026D95">
        <w:t>r</w:t>
      </w:r>
      <w:r w:rsidRPr="00026D95">
        <w:t>ces publiques sont engagées pour appuyer les efforts de l'entreprise privée. P</w:t>
      </w:r>
      <w:r w:rsidRPr="00026D95">
        <w:t>a</w:t>
      </w:r>
      <w:r w:rsidRPr="00026D95">
        <w:t>rallèlement, une politique axée sur [82] l’offre visera à libérer l'entreprise de responsabilités trop onéreuses qui nuisent à son essor ; pensons, dans le doma</w:t>
      </w:r>
      <w:r w:rsidRPr="00026D95">
        <w:t>i</w:t>
      </w:r>
      <w:r w:rsidRPr="00026D95">
        <w:t>ne de la protection sociale, à la déréglementation, à la lutte contre les rigidités, à la réduction du coût du travail, etc. Les États n'ont pas tous fait les mêmes choix. Il est manifeste que des pays comme les États-Unis, la Grande-Bretagne et le Canada ont opté pour la deuxième perspective, alors que la première a r</w:t>
      </w:r>
      <w:r w:rsidRPr="00026D95">
        <w:t>e</w:t>
      </w:r>
      <w:r w:rsidRPr="00026D95">
        <w:t>tenu davantage l'intérêt des pays européens continentaux.</w:t>
      </w:r>
      <w:r>
        <w:t> </w:t>
      </w:r>
      <w:r w:rsidRPr="00026D95">
        <w:rPr>
          <w:rStyle w:val="Appelnotedebasdep"/>
        </w:rPr>
        <w:footnoteReference w:id="86"/>
      </w:r>
    </w:p>
    <w:p w:rsidR="00F35523" w:rsidRDefault="00F35523" w:rsidP="00F35523">
      <w:pPr>
        <w:spacing w:before="120" w:after="120"/>
        <w:jc w:val="both"/>
      </w:pPr>
      <w:r w:rsidRPr="00026D95">
        <w:t>Il est difficile d'évaluer, en l'isolant, l'influence de la compétition internati</w:t>
      </w:r>
      <w:r w:rsidRPr="00026D95">
        <w:t>o</w:t>
      </w:r>
      <w:r w:rsidRPr="00026D95">
        <w:t>nale sur l'épuisement du modèle de développement d’après-guerre et sur la mise en place d'un éventuel nouveau modèle de dév</w:t>
      </w:r>
      <w:r w:rsidRPr="00026D95">
        <w:t>e</w:t>
      </w:r>
      <w:r w:rsidRPr="00026D95">
        <w:t>loppement. Mais la compétition internationale apparaît comme un puissant mécanisme de propagation de l'idée du resserrement de la protection sociale. D'une façon générale, les contraintes de la compét</w:t>
      </w:r>
      <w:r w:rsidRPr="00026D95">
        <w:t>i</w:t>
      </w:r>
      <w:r w:rsidRPr="00026D95">
        <w:t>tivité jouent dans le sens de l'austérité et, dans un contexte de ch</w:t>
      </w:r>
      <w:r w:rsidRPr="00026D95">
        <w:t>u</w:t>
      </w:r>
      <w:r w:rsidRPr="00026D95">
        <w:t>te de la croissance et d'accentuation du dualisme social, mettent en valeur les limites de la politique de redistribution.</w:t>
      </w:r>
      <w:r>
        <w:t> </w:t>
      </w:r>
      <w:r w:rsidRPr="00026D95">
        <w:rPr>
          <w:rStyle w:val="Appelnotedebasdep"/>
        </w:rPr>
        <w:footnoteReference w:id="87"/>
      </w:r>
    </w:p>
    <w:p w:rsidR="00F35523" w:rsidRDefault="00F35523" w:rsidP="00F35523">
      <w:pPr>
        <w:spacing w:before="120" w:after="120"/>
        <w:jc w:val="both"/>
      </w:pPr>
      <w:r w:rsidRPr="00026D95">
        <w:t>L'analyse comparée de l'évolution de l'État-providence depuis les années soixante-dix montre, dans un premier temps, que les diverses mesures d'austér</w:t>
      </w:r>
      <w:r w:rsidRPr="00026D95">
        <w:t>i</w:t>
      </w:r>
      <w:r w:rsidRPr="00026D95">
        <w:t>té ont, d'une façon générale, ralenti la croissance des dépenses dans le domaine social et que, dans un deuxième temps, mis à part la Grande-Bretagne et le D</w:t>
      </w:r>
      <w:r w:rsidRPr="00026D95">
        <w:t>a</w:t>
      </w:r>
      <w:r w:rsidRPr="00026D95">
        <w:t>nemark, les reculs majeurs se sont manifestés dans la deuxième moitié des a</w:t>
      </w:r>
      <w:r w:rsidRPr="00026D95">
        <w:t>n</w:t>
      </w:r>
      <w:r w:rsidRPr="00026D95">
        <w:t>nées quatre-vingt. Certaines mesures, dont celles visant les sans-emploi, ont fait l'objet d'une atte</w:t>
      </w:r>
      <w:r w:rsidRPr="00026D95">
        <w:t>n</w:t>
      </w:r>
      <w:r w:rsidRPr="00026D95">
        <w:t>tion particulière et ont mené à des réductions de droits, à des resse</w:t>
      </w:r>
      <w:r w:rsidRPr="00026D95">
        <w:t>r</w:t>
      </w:r>
      <w:r w:rsidRPr="00026D95">
        <w:t>rements de l'admissibilité, à des diminutions du niveau de couverture et de la durée des prestations, à l'utilisation accrue d'examens de re</w:t>
      </w:r>
      <w:r w:rsidRPr="00026D95">
        <w:t>s</w:t>
      </w:r>
      <w:r w:rsidRPr="00026D95">
        <w:t>sources, etc.</w:t>
      </w:r>
    </w:p>
    <w:p w:rsidR="00F35523" w:rsidRDefault="00F35523" w:rsidP="00F35523">
      <w:pPr>
        <w:spacing w:before="120" w:after="120"/>
        <w:jc w:val="both"/>
      </w:pPr>
      <w:r w:rsidRPr="00026D95">
        <w:t>L'importance des replis et des réductions est générale ; pourtant, pour ce qui est de la configuration institutionnelle des États-providence les changements fondamentaux concernant l'économie g</w:t>
      </w:r>
      <w:r w:rsidRPr="00026D95">
        <w:t>é</w:t>
      </w:r>
      <w:r w:rsidRPr="00026D95">
        <w:t>nérale de là protection sociale ont été enregistrés d'abord en Grande-Bretagne et en Nouvelle-Zélande. Ailleurs, les restrictions se sont coulées dans le modèle privilégié d'interventions existant, tout en le modifiant de diverses manières.</w:t>
      </w:r>
      <w:r>
        <w:t> </w:t>
      </w:r>
      <w:r w:rsidRPr="00026D95">
        <w:rPr>
          <w:rStyle w:val="Appelnotedebasdep"/>
        </w:rPr>
        <w:footnoteReference w:id="88"/>
      </w:r>
      <w:r w:rsidRPr="00026D95">
        <w:t xml:space="preserve"> Le </w:t>
      </w:r>
      <w:r w:rsidRPr="00026D95">
        <w:rPr>
          <w:i/>
        </w:rPr>
        <w:t xml:space="preserve">workfare </w:t>
      </w:r>
      <w:r w:rsidRPr="00026D95">
        <w:t>illustre bien cette d</w:t>
      </w:r>
      <w:r w:rsidRPr="00026D95">
        <w:t>y</w:t>
      </w:r>
      <w:r w:rsidRPr="00026D95">
        <w:t>namique qui fait en sorte que des mesures d'inspiration commune épousent à terme une logique d'intervention variable d'un type d’État-Providence à un a</w:t>
      </w:r>
      <w:r w:rsidRPr="00026D95">
        <w:t>u</w:t>
      </w:r>
      <w:r w:rsidRPr="00026D95">
        <w:t>tre.</w:t>
      </w:r>
    </w:p>
    <w:p w:rsidR="00F35523" w:rsidRPr="00026D95" w:rsidRDefault="00F35523" w:rsidP="00F35523">
      <w:pPr>
        <w:spacing w:before="120" w:after="120"/>
        <w:jc w:val="both"/>
      </w:pPr>
    </w:p>
    <w:p w:rsidR="00F35523" w:rsidRPr="00026D95" w:rsidRDefault="00F35523" w:rsidP="00F35523">
      <w:pPr>
        <w:spacing w:before="120" w:after="120"/>
        <w:jc w:val="both"/>
      </w:pPr>
      <w:r w:rsidRPr="00026D95">
        <w:t>[83]</w:t>
      </w:r>
    </w:p>
    <w:p w:rsidR="00F35523" w:rsidRDefault="00F35523" w:rsidP="00F35523">
      <w:pPr>
        <w:spacing w:before="120" w:after="120"/>
        <w:jc w:val="both"/>
      </w:pPr>
      <w:r w:rsidRPr="00026D95">
        <w:t>Cela dit, les configurations institutionnelles ne sont pas immuables et ne tr</w:t>
      </w:r>
      <w:r w:rsidRPr="00026D95">
        <w:t>a</w:t>
      </w:r>
      <w:r w:rsidRPr="00026D95">
        <w:t>versent pas le temps sans être altérées. C'est en ce sens que la période actuelle est radicalement névralgique.</w:t>
      </w:r>
    </w:p>
    <w:p w:rsidR="00F35523" w:rsidRDefault="00F35523" w:rsidP="00F35523">
      <w:pPr>
        <w:spacing w:before="120" w:after="120"/>
        <w:jc w:val="both"/>
      </w:pPr>
      <w:r w:rsidRPr="00026D95">
        <w:t>En Amérique du Nord, l’ALENA exerce une pression diffuse mais non moins réelle sur l'évolution de la protection sociale dans les trois pays partena</w:t>
      </w:r>
      <w:r w:rsidRPr="00026D95">
        <w:t>i</w:t>
      </w:r>
      <w:r w:rsidRPr="00026D95">
        <w:t>res. Mais d'abord et avant tout les arbitrages se font au sein de chaque État en fonction de la condition des forces endogènes et de leur compréhension respective des contraintes de la continental</w:t>
      </w:r>
      <w:r w:rsidRPr="00026D95">
        <w:t>i</w:t>
      </w:r>
      <w:r w:rsidRPr="00026D95">
        <w:t>sation. Il s'agit d'un enjeu dont le traitement reste principalement d</w:t>
      </w:r>
      <w:r w:rsidRPr="00026D95">
        <w:t>o</w:t>
      </w:r>
      <w:r w:rsidRPr="00026D95">
        <w:t>mestique, mais qui est marqué par la prédomina</w:t>
      </w:r>
      <w:r w:rsidRPr="00026D95">
        <w:t>n</w:t>
      </w:r>
      <w:r w:rsidRPr="00026D95">
        <w:t>ce du type libéral d’État-Providence.</w:t>
      </w:r>
    </w:p>
    <w:p w:rsidR="00F35523" w:rsidRDefault="00F35523" w:rsidP="00F35523">
      <w:pPr>
        <w:spacing w:before="120" w:after="120"/>
        <w:jc w:val="both"/>
      </w:pPr>
      <w:r w:rsidRPr="00026D95">
        <w:t>En Europe, la situation est plus complexe du fait de la diversité des config</w:t>
      </w:r>
      <w:r w:rsidRPr="00026D95">
        <w:t>u</w:t>
      </w:r>
      <w:r w:rsidRPr="00026D95">
        <w:t>rations institutionnelles et du jeu instable des relations entre les États membres et la Communauté européenne. Ce jeu n'est pas sans ambivalence, mais il y a fort à parier que l'état des rapports de forces sur les scènes nationales ainsi que l'univers des représentations et des pratiques instituées constitueront des él</w:t>
      </w:r>
      <w:r w:rsidRPr="00026D95">
        <w:t>é</w:t>
      </w:r>
      <w:r w:rsidRPr="00026D95">
        <w:t>ments essentiels de l'avenir de la protection sociale. Déjà, les formes instit</w:t>
      </w:r>
      <w:r w:rsidRPr="00026D95">
        <w:t>u</w:t>
      </w:r>
      <w:r w:rsidRPr="00026D95">
        <w:t>tionnelles, les compromis historiques qui les ont accompagnées, les principes sous-jacents aux diverses conventions sociales et les organisations et les cult</w:t>
      </w:r>
      <w:r w:rsidRPr="00026D95">
        <w:t>u</w:t>
      </w:r>
      <w:r w:rsidRPr="00026D95">
        <w:t>res politiques plaident pour une résistance à l'égard du « modèle anglo-saxon ». Mais cette résistance ne peut s'appuyer sur la seule fo</w:t>
      </w:r>
      <w:r w:rsidRPr="00026D95">
        <w:t>r</w:t>
      </w:r>
      <w:r w:rsidRPr="00026D95">
        <w:t>ce de l'inertie et doit s'e</w:t>
      </w:r>
      <w:r w:rsidRPr="00026D95">
        <w:t>x</w:t>
      </w:r>
      <w:r w:rsidRPr="00026D95">
        <w:t>primer positivement dans les termes d'une restructuration différente de la pr</w:t>
      </w:r>
      <w:r w:rsidRPr="00026D95">
        <w:t>o</w:t>
      </w:r>
      <w:r w:rsidRPr="00026D95">
        <w:t>tection sociale.</w:t>
      </w:r>
    </w:p>
    <w:p w:rsidR="00F35523" w:rsidRDefault="00F35523" w:rsidP="00F35523">
      <w:pPr>
        <w:spacing w:before="120" w:after="120"/>
        <w:jc w:val="both"/>
      </w:pPr>
      <w:r w:rsidRPr="00026D95">
        <w:t>L'une des questions majeures liées à la contrainte de compétitivité et à l'av</w:t>
      </w:r>
      <w:r w:rsidRPr="00026D95">
        <w:t>e</w:t>
      </w:r>
      <w:r w:rsidRPr="00026D95">
        <w:t>nir de la protection sociale est sans doute la capacité de faire montre d'une di</w:t>
      </w:r>
      <w:r w:rsidRPr="00026D95">
        <w:t>s</w:t>
      </w:r>
      <w:r w:rsidRPr="00026D95">
        <w:t>cipline concernant les coûts, tout autant pour ce qui est des prix et des salaires que pour ce qui est de la fiscalité. La sol</w:t>
      </w:r>
      <w:r w:rsidRPr="00026D95">
        <w:t>u</w:t>
      </w:r>
      <w:r w:rsidRPr="00026D95">
        <w:t>tion à l'incapacité d'en arriver à une discipline volontaire reste le r</w:t>
      </w:r>
      <w:r w:rsidRPr="00026D95">
        <w:t>e</w:t>
      </w:r>
      <w:r w:rsidRPr="00026D95">
        <w:t>cours brutal aux forces du marché et à la dér</w:t>
      </w:r>
      <w:r w:rsidRPr="00026D95">
        <w:t>é</w:t>
      </w:r>
      <w:r w:rsidRPr="00026D95">
        <w:t>glementation.</w:t>
      </w:r>
      <w:r>
        <w:t> </w:t>
      </w:r>
      <w:r w:rsidRPr="00026D95">
        <w:rPr>
          <w:rStyle w:val="Appelnotedebasdep"/>
        </w:rPr>
        <w:footnoteReference w:id="89"/>
      </w:r>
      <w:r w:rsidRPr="00026D95">
        <w:t xml:space="preserve"> En ce sens, le modèle libéral anglo-saxon garde tout son attrait.</w:t>
      </w:r>
    </w:p>
    <w:p w:rsidR="00F35523" w:rsidRDefault="00F35523" w:rsidP="00F35523">
      <w:pPr>
        <w:spacing w:before="120" w:after="120"/>
        <w:jc w:val="both"/>
      </w:pPr>
      <w:r w:rsidRPr="00026D95">
        <w:t>Il y a là place à l'innovation sociale, car les formes anciennes de corporati</w:t>
      </w:r>
      <w:r w:rsidRPr="00026D95">
        <w:t>s</w:t>
      </w:r>
      <w:r w:rsidRPr="00026D95">
        <w:t>me macrosocial ne sauraient être reprises en l'état ni dans les États membres ni au niveau de la Communauté européenne. Les conditions ont changé. Notons au passage que l'accentuation du du</w:t>
      </w:r>
      <w:r w:rsidRPr="00026D95">
        <w:t>a</w:t>
      </w:r>
      <w:r w:rsidRPr="00026D95">
        <w:t>lisme social et de la pauvreté et la croissance du nombre des sans-emploi de longue durée hypothèquent la capacité des org</w:t>
      </w:r>
      <w:r w:rsidRPr="00026D95">
        <w:t>a</w:t>
      </w:r>
      <w:r w:rsidRPr="00026D95">
        <w:t>nisations de travailleurs à agir comme représentant des travailleurs dans leur e</w:t>
      </w:r>
      <w:r w:rsidRPr="00026D95">
        <w:t>n</w:t>
      </w:r>
      <w:r w:rsidRPr="00026D95">
        <w:t>semble et à établir un rapport de forces satisfaisant. Notons aussi qu'il y a une remise en question par les acteurs politiques des modèles de concertation des [84] années de croissance et que, dans l'ensemble, « il est difficile de donner vie à des mécanismes de concertation dans lesquels se multiplient [...] les jeux à somme nulle ».</w:t>
      </w:r>
      <w:r>
        <w:t> </w:t>
      </w:r>
      <w:r w:rsidRPr="00026D95">
        <w:rPr>
          <w:rStyle w:val="Appelnotedebasdep"/>
        </w:rPr>
        <w:footnoteReference w:id="90"/>
      </w:r>
      <w:r w:rsidRPr="00026D95">
        <w:t xml:space="preserve"> À défaut d'i</w:t>
      </w:r>
      <w:r w:rsidRPr="00026D95">
        <w:t>n</w:t>
      </w:r>
      <w:r w:rsidRPr="00026D95">
        <w:t>novation sociale, une régulation plus brutale trouverait sa légitimité dans un constat d'échec et un sentiment d'urgence.</w:t>
      </w:r>
    </w:p>
    <w:p w:rsidR="00F35523" w:rsidRDefault="00F35523" w:rsidP="00F35523">
      <w:pPr>
        <w:spacing w:before="120" w:after="120"/>
        <w:jc w:val="both"/>
      </w:pPr>
      <w:r w:rsidRPr="00026D95">
        <w:t>L'héritage des configurations institutionnelles de l'État-providence et la c</w:t>
      </w:r>
      <w:r w:rsidRPr="00026D95">
        <w:t>a</w:t>
      </w:r>
      <w:r w:rsidRPr="00026D95">
        <w:t>pacité de chaque État à intégrer une révision des politiques et l'usage d'expédients à la mode ne constituent d'ailleurs pas une car</w:t>
      </w:r>
      <w:r w:rsidRPr="00026D95">
        <w:t>a</w:t>
      </w:r>
      <w:r w:rsidRPr="00026D95">
        <w:t>pace à toute épreuve. Ne serions-nous pas plutôt en train d'assister à un « encerclement » néo-libéral progressif, qui altérerait significat</w:t>
      </w:r>
      <w:r w:rsidRPr="00026D95">
        <w:t>i</w:t>
      </w:r>
      <w:r w:rsidRPr="00026D95">
        <w:t>vement la nature et l'économie générale des sy</w:t>
      </w:r>
      <w:r w:rsidRPr="00026D95">
        <w:t>s</w:t>
      </w:r>
      <w:r w:rsidRPr="00026D95">
        <w:t>tèmes de protection sociale, incluant ceux qui y sont le plus réfractaires ? Si tel est le cas, « l'application de recettes nouvelles fondées sur d'autres valeurs et d'autres modèles d'action [... pourrait modifier] substantiellement la hiérarchie des objectifs et des secteurs ».</w:t>
      </w:r>
      <w:r>
        <w:t> </w:t>
      </w:r>
      <w:r w:rsidRPr="00026D95">
        <w:rPr>
          <w:rStyle w:val="Appelnotedebasdep"/>
        </w:rPr>
        <w:footnoteReference w:id="91"/>
      </w:r>
    </w:p>
    <w:p w:rsidR="00F35523" w:rsidRDefault="00F35523" w:rsidP="00F35523">
      <w:pPr>
        <w:spacing w:before="120" w:after="120"/>
        <w:jc w:val="both"/>
      </w:pPr>
    </w:p>
    <w:p w:rsidR="00F35523" w:rsidRPr="00026D95" w:rsidRDefault="00F35523" w:rsidP="00F35523">
      <w:pPr>
        <w:ind w:left="3420" w:firstLine="0"/>
        <w:jc w:val="both"/>
      </w:pPr>
      <w:r w:rsidRPr="00026D95">
        <w:t>Gérard BOISMENU et</w:t>
      </w:r>
      <w:r>
        <w:t xml:space="preserve"> </w:t>
      </w:r>
      <w:r w:rsidRPr="00026D95">
        <w:t>Alain NOËL</w:t>
      </w:r>
    </w:p>
    <w:p w:rsidR="00F35523" w:rsidRPr="00026D95" w:rsidRDefault="00F35523" w:rsidP="00F35523">
      <w:pPr>
        <w:ind w:left="3420" w:firstLine="0"/>
        <w:jc w:val="both"/>
      </w:pPr>
      <w:r w:rsidRPr="00026D95">
        <w:t>Département de science politique</w:t>
      </w:r>
    </w:p>
    <w:p w:rsidR="00F35523" w:rsidRDefault="00F35523" w:rsidP="00F35523">
      <w:pPr>
        <w:ind w:left="3420" w:firstLine="0"/>
        <w:jc w:val="both"/>
      </w:pPr>
      <w:r w:rsidRPr="00026D95">
        <w:t>Université de Montréal</w:t>
      </w:r>
    </w:p>
    <w:p w:rsidR="00F35523" w:rsidRDefault="00F35523" w:rsidP="00F35523">
      <w:pPr>
        <w:spacing w:before="120" w:after="120"/>
        <w:jc w:val="both"/>
      </w:pPr>
      <w:r>
        <w:br w:type="page"/>
      </w:r>
    </w:p>
    <w:p w:rsidR="00F35523" w:rsidRDefault="00F35523" w:rsidP="00F35523">
      <w:pPr>
        <w:pStyle w:val="aa"/>
      </w:pPr>
      <w:bookmarkStart w:id="8" w:name="Restructuration_resume"/>
      <w:r w:rsidRPr="00026D95">
        <w:t>Résumé</w:t>
      </w:r>
    </w:p>
    <w:bookmarkEnd w:id="8"/>
    <w:p w:rsidR="00F35523" w:rsidRDefault="00F35523" w:rsidP="00F35523">
      <w:pPr>
        <w:spacing w:before="120" w:after="120"/>
        <w:jc w:val="both"/>
      </w:pPr>
    </w:p>
    <w:p w:rsidR="00F35523" w:rsidRPr="00384B20" w:rsidRDefault="00F35523" w:rsidP="00F35523">
      <w:pPr>
        <w:ind w:right="90" w:firstLine="0"/>
        <w:jc w:val="both"/>
        <w:rPr>
          <w:sz w:val="20"/>
        </w:rPr>
      </w:pPr>
      <w:hyperlink w:anchor="tdm" w:history="1">
        <w:r w:rsidRPr="00384B20">
          <w:rPr>
            <w:rStyle w:val="Lienhypertexte"/>
            <w:sz w:val="20"/>
          </w:rPr>
          <w:t>Retour à la table des matières</w:t>
        </w:r>
      </w:hyperlink>
    </w:p>
    <w:p w:rsidR="00F35523" w:rsidRPr="00026D95" w:rsidRDefault="00F35523" w:rsidP="00F35523">
      <w:pPr>
        <w:spacing w:before="120" w:after="120"/>
        <w:jc w:val="both"/>
      </w:pPr>
      <w:r w:rsidRPr="00026D95">
        <w:t>Au cours des années quatre-vingt, la rhétorique conservatrice qui s'est imp</w:t>
      </w:r>
      <w:r w:rsidRPr="00026D95">
        <w:t>o</w:t>
      </w:r>
      <w:r w:rsidRPr="00026D95">
        <w:t>sée aux États-Unis et en Grande-Bretagne, et avec moins de panache au Can</w:t>
      </w:r>
      <w:r w:rsidRPr="00026D95">
        <w:t>a</w:t>
      </w:r>
      <w:r w:rsidRPr="00026D95">
        <w:t>da, a alimenté les spéculations au sujet d'une crise de l'État-providence. Dans le contexte actuel de mondialisation, il impo</w:t>
      </w:r>
      <w:r w:rsidRPr="00026D95">
        <w:t>r</w:t>
      </w:r>
      <w:r w:rsidRPr="00026D95">
        <w:t>te de saisir si ce cheminement nord-américain ou anglo-saxon connaît une extension en Europe, participant de ce fait à un phénomène de convergence des systèmes de protection sociale, convergence qui i</w:t>
      </w:r>
      <w:r w:rsidRPr="00026D95">
        <w:t>m</w:t>
      </w:r>
      <w:r w:rsidRPr="00026D95">
        <w:t xml:space="preserve">pliquerait un changement fondamental de la cohérence sous-jacente aux systèmes de protection sociale en Europe. Cet article compare les États-providence, présente les évolutions récentes dans les pays anglo-saxons et en Europe continentale, et se penche plus particulièrement sur la question du </w:t>
      </w:r>
      <w:r w:rsidRPr="00026D95">
        <w:rPr>
          <w:i/>
        </w:rPr>
        <w:t xml:space="preserve">workfare, </w:t>
      </w:r>
      <w:r w:rsidRPr="00026D95">
        <w:t>pour conclure que même si les remises en question sont générales, les trajectoires des pays concernés demeurent ancrées dans les modèles et instit</w:t>
      </w:r>
      <w:r w:rsidRPr="00026D95">
        <w:t>u</w:t>
      </w:r>
      <w:r w:rsidRPr="00026D95">
        <w:t>tions déjà en place.</w:t>
      </w:r>
    </w:p>
    <w:p w:rsidR="00F35523" w:rsidRDefault="00F35523" w:rsidP="00F35523">
      <w:pPr>
        <w:spacing w:before="120" w:after="120"/>
        <w:jc w:val="both"/>
      </w:pPr>
      <w:r w:rsidRPr="00026D95">
        <w:t>[85]</w:t>
      </w:r>
    </w:p>
    <w:p w:rsidR="00F35523" w:rsidRPr="00026D95" w:rsidRDefault="00F35523" w:rsidP="00F35523">
      <w:pPr>
        <w:spacing w:before="120" w:after="120"/>
        <w:jc w:val="both"/>
      </w:pPr>
    </w:p>
    <w:p w:rsidR="00F35523" w:rsidRDefault="00F35523" w:rsidP="00F35523">
      <w:pPr>
        <w:spacing w:before="120" w:after="120"/>
        <w:jc w:val="both"/>
      </w:pPr>
      <w:r w:rsidRPr="00924C73">
        <w:rPr>
          <w:b/>
        </w:rPr>
        <w:t>Mots-clés </w:t>
      </w:r>
      <w:r w:rsidRPr="00026D95">
        <w:t>:</w:t>
      </w:r>
    </w:p>
    <w:p w:rsidR="00F35523" w:rsidRDefault="00F35523" w:rsidP="00F35523">
      <w:pPr>
        <w:spacing w:before="120" w:after="120"/>
        <w:jc w:val="both"/>
      </w:pPr>
      <w:r w:rsidRPr="00026D95">
        <w:t xml:space="preserve">État-Providence, protection sociale, Amérique du Nord, Europe, </w:t>
      </w:r>
      <w:r w:rsidRPr="00026D95">
        <w:rPr>
          <w:i/>
        </w:rPr>
        <w:t xml:space="preserve">workfare, </w:t>
      </w:r>
      <w:r w:rsidRPr="00026D95">
        <w:t>institutions, compétitivité, mondialisation, intégration continentale, marché du travail.</w:t>
      </w:r>
    </w:p>
    <w:p w:rsidR="00F35523" w:rsidRPr="004511DA" w:rsidRDefault="00F35523" w:rsidP="00F35523">
      <w:pPr>
        <w:spacing w:before="120" w:after="120"/>
        <w:jc w:val="both"/>
      </w:pPr>
    </w:p>
    <w:sectPr w:rsidR="00F35523" w:rsidRPr="004511DA" w:rsidSect="00F35523">
      <w:headerReference w:type="default" r:id="rId20"/>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2598" w:rsidRDefault="00232598">
      <w:r>
        <w:separator/>
      </w:r>
    </w:p>
  </w:endnote>
  <w:endnote w:type="continuationSeparator" w:id="0">
    <w:p w:rsidR="00232598" w:rsidRDefault="00232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Perpetua">
    <w:panose1 w:val="02020502060401020303"/>
    <w:charset w:val="4D"/>
    <w:family w:val="roman"/>
    <w:pitch w:val="variable"/>
    <w:sig w:usb0="00000003" w:usb1="00000000" w:usb2="00000000" w:usb3="00000000" w:csb0="00000001"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Futura Lt BT">
    <w:panose1 w:val="020B0602020204020303"/>
    <w:charset w:val="B1"/>
    <w:family w:val="swiss"/>
    <w:pitch w:val="variable"/>
    <w:sig w:usb0="80000867" w:usb1="00000000" w:usb2="00000000" w:usb3="00000000" w:csb0="000001FB"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ppleMyungjo">
    <w:panose1 w:val="00000000000000000000"/>
    <w:charset w:val="81"/>
    <w:family w:val="auto"/>
    <w:pitch w:val="variable"/>
    <w:sig w:usb0="00000001" w:usb1="09060000" w:usb2="00000010" w:usb3="00000000" w:csb0="00280001" w:csb1="00000000"/>
  </w:font>
  <w:font w:name="AppleGothic">
    <w:panose1 w:val="00000000000000000000"/>
    <w:charset w:val="81"/>
    <w:family w:val="auto"/>
    <w:pitch w:val="variable"/>
    <w:sig w:usb0="00000001" w:usb1="09060000" w:usb2="00000010" w:usb3="00000000" w:csb0="00280001" w:csb1="00000000"/>
  </w:font>
  <w:font w:name="BI Times BoldItalic">
    <w:altName w:val="FreeMono Medium"/>
    <w:panose1 w:val="020B0604020202020204"/>
    <w:charset w:val="00"/>
    <w:family w:val="auto"/>
    <w:pitch w:val="variable"/>
    <w:sig w:usb0="00000000" w:usb1="00000000" w:usb2="00000000" w:usb3="00000000" w:csb0="00000001" w:csb1="00000000"/>
  </w:font>
  <w:font w:name="Arial-BoldMT">
    <w:altName w:val="Arial"/>
    <w:panose1 w:val="020B0604020202020204"/>
    <w:charset w:val="4D"/>
    <w:family w:val="swiss"/>
    <w:notTrueType/>
    <w:pitch w:val="default"/>
    <w:sig w:usb0="03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2598" w:rsidRDefault="00232598">
      <w:pPr>
        <w:ind w:firstLine="0"/>
      </w:pPr>
      <w:r>
        <w:separator/>
      </w:r>
    </w:p>
  </w:footnote>
  <w:footnote w:type="continuationSeparator" w:id="0">
    <w:p w:rsidR="00232598" w:rsidRDefault="00232598">
      <w:pPr>
        <w:ind w:firstLine="0"/>
      </w:pPr>
      <w:r>
        <w:separator/>
      </w:r>
    </w:p>
  </w:footnote>
  <w:footnote w:id="1">
    <w:p w:rsidR="00F35523" w:rsidRDefault="00F35523" w:rsidP="00F35523">
      <w:pPr>
        <w:pStyle w:val="Notedebasdepage"/>
      </w:pPr>
      <w:r>
        <w:rPr>
          <w:rStyle w:val="Appelnotedebasdep"/>
        </w:rPr>
        <w:t>*</w:t>
      </w:r>
      <w:r>
        <w:t xml:space="preserve"> </w:t>
      </w:r>
      <w:r>
        <w:tab/>
      </w:r>
      <w:r w:rsidRPr="00026D95">
        <w:t>Une version préliminaire de cet article a été présentée au coll</w:t>
      </w:r>
      <w:r w:rsidRPr="00026D95">
        <w:t>o</w:t>
      </w:r>
      <w:r w:rsidRPr="00026D95">
        <w:t>que « Compétitivité des entreprises, des populations, des territoires », GE</w:t>
      </w:r>
      <w:r w:rsidRPr="00026D95">
        <w:t>M</w:t>
      </w:r>
      <w:r w:rsidRPr="00026D95">
        <w:t>DEV, centre Malher, Paris, 30 janvier 199</w:t>
      </w:r>
      <w:r>
        <w:t>5</w:t>
      </w:r>
      <w:r w:rsidRPr="00026D95">
        <w:t>. Ce travail a été r</w:t>
      </w:r>
      <w:r w:rsidRPr="00026D95">
        <w:t>é</w:t>
      </w:r>
      <w:r w:rsidRPr="00026D95">
        <w:t>alisé dans le cadre d'un programme de recherche subventionné par le FCAR. Nous r</w:t>
      </w:r>
      <w:r w:rsidRPr="00026D95">
        <w:t>e</w:t>
      </w:r>
      <w:r w:rsidRPr="00026D95">
        <w:t>mercions Benjamin Coriat, pour les commentaires faits à l'occasion du co</w:t>
      </w:r>
      <w:r w:rsidRPr="00026D95">
        <w:t>l</w:t>
      </w:r>
      <w:r w:rsidRPr="00026D95">
        <w:t>loque, ainsi que B</w:t>
      </w:r>
      <w:r w:rsidRPr="00026D95">
        <w:t>e</w:t>
      </w:r>
      <w:r w:rsidRPr="00026D95">
        <w:t>noit Henri qui a agi à titre d'assistant de recherche dans la préparation de ce te</w:t>
      </w:r>
      <w:r w:rsidRPr="00026D95">
        <w:t>x</w:t>
      </w:r>
      <w:r w:rsidRPr="00026D95">
        <w:t>te.</w:t>
      </w:r>
    </w:p>
  </w:footnote>
  <w:footnote w:id="2">
    <w:p w:rsidR="00F35523" w:rsidRDefault="00F35523" w:rsidP="00F35523">
      <w:pPr>
        <w:pStyle w:val="Notedebasdepage"/>
      </w:pPr>
      <w:r>
        <w:rPr>
          <w:rStyle w:val="Appelnotedebasdep"/>
        </w:rPr>
        <w:footnoteRef/>
      </w:r>
      <w:r>
        <w:tab/>
        <w:t xml:space="preserve">A. Sinfield, « The impact of unemployment upon welfare », dans Z. Ferge et J. Kolberg (dir.), </w:t>
      </w:r>
      <w:r>
        <w:rPr>
          <w:i/>
        </w:rPr>
        <w:t xml:space="preserve">Social Policy in a Changing Europe, </w:t>
      </w:r>
      <w:r>
        <w:t>Boulder, Westview, 1992, p. 95-116.</w:t>
      </w:r>
    </w:p>
  </w:footnote>
  <w:footnote w:id="3">
    <w:p w:rsidR="00F35523" w:rsidRDefault="00F35523" w:rsidP="00F35523">
      <w:pPr>
        <w:pStyle w:val="Notedebasdepage"/>
      </w:pPr>
      <w:r>
        <w:rPr>
          <w:rStyle w:val="Appelnotedebasdep"/>
        </w:rPr>
        <w:footnoteRef/>
      </w:r>
      <w:r>
        <w:tab/>
      </w:r>
      <w:r>
        <w:rPr>
          <w:i/>
        </w:rPr>
        <w:t xml:space="preserve">Ibid., </w:t>
      </w:r>
      <w:r w:rsidRPr="000A24D6">
        <w:t>p.</w:t>
      </w:r>
      <w:r>
        <w:rPr>
          <w:i/>
        </w:rPr>
        <w:t xml:space="preserve"> </w:t>
      </w:r>
      <w:r>
        <w:t>102-104.</w:t>
      </w:r>
    </w:p>
  </w:footnote>
  <w:footnote w:id="4">
    <w:p w:rsidR="00F35523" w:rsidRDefault="00F35523" w:rsidP="00F35523">
      <w:pPr>
        <w:pStyle w:val="Notedebasdepage"/>
      </w:pPr>
      <w:r>
        <w:rPr>
          <w:rStyle w:val="Appelnotedebasdep"/>
        </w:rPr>
        <w:footnoteRef/>
      </w:r>
      <w:r>
        <w:tab/>
        <w:t>J. Jallade, « Is the crisis behind us ? Issues facing social security systems in Western Europe », dans Z. Ferge et J. Kolberg (dir.), ouvr. cité, p. 36-56.</w:t>
      </w:r>
    </w:p>
  </w:footnote>
  <w:footnote w:id="5">
    <w:p w:rsidR="00F35523" w:rsidRDefault="00F35523" w:rsidP="00F35523">
      <w:pPr>
        <w:pStyle w:val="Notedebasdepage"/>
      </w:pPr>
      <w:r>
        <w:rPr>
          <w:rStyle w:val="Appelnotedebasdep"/>
        </w:rPr>
        <w:footnoteRef/>
      </w:r>
      <w:r>
        <w:tab/>
      </w:r>
      <w:r w:rsidRPr="000A24D6">
        <w:rPr>
          <w:i/>
        </w:rPr>
        <w:t>Ibid</w:t>
      </w:r>
      <w:r>
        <w:t>.</w:t>
      </w:r>
    </w:p>
  </w:footnote>
  <w:footnote w:id="6">
    <w:p w:rsidR="00F35523" w:rsidRDefault="00F35523" w:rsidP="00F35523">
      <w:pPr>
        <w:pStyle w:val="Notedebasdepage"/>
      </w:pPr>
      <w:r>
        <w:rPr>
          <w:rStyle w:val="Appelnotedebasdep"/>
        </w:rPr>
        <w:footnoteRef/>
      </w:r>
      <w:r>
        <w:tab/>
        <w:t xml:space="preserve">T. M. Smeeding, « Why the U.S. antipoverty system doesn't work very well », </w:t>
      </w:r>
      <w:r>
        <w:rPr>
          <w:i/>
        </w:rPr>
        <w:t>Cha</w:t>
      </w:r>
      <w:r>
        <w:rPr>
          <w:i/>
        </w:rPr>
        <w:t>l</w:t>
      </w:r>
      <w:r>
        <w:rPr>
          <w:i/>
        </w:rPr>
        <w:t xml:space="preserve">lenge, </w:t>
      </w:r>
      <w:r>
        <w:t xml:space="preserve">janvier-février 1992, p. 30 et suiv. ; T. M. Smeeding et autres, « Income poverty in seven countries », dans T. M. Smeeding, M. O'Higgins et L. Rainwater, </w:t>
      </w:r>
      <w:r>
        <w:rPr>
          <w:i/>
        </w:rPr>
        <w:t xml:space="preserve">Poverty, Inequality and Income Distribution in Comparative Perspective, </w:t>
      </w:r>
      <w:r>
        <w:t>Washington (DC), The Urban Institute Press, 1990, p. 57-76.</w:t>
      </w:r>
    </w:p>
  </w:footnote>
  <w:footnote w:id="7">
    <w:p w:rsidR="00F35523" w:rsidRDefault="00F35523" w:rsidP="00F35523">
      <w:pPr>
        <w:pStyle w:val="Notedebasdepage"/>
      </w:pPr>
      <w:r>
        <w:rPr>
          <w:rStyle w:val="Appelnotedebasdep"/>
        </w:rPr>
        <w:footnoteRef/>
      </w:r>
      <w:r>
        <w:tab/>
        <w:t>M. Hanratty et M. R. Blank, « Down and out in North America : Recent trends in p</w:t>
      </w:r>
      <w:r>
        <w:t>o</w:t>
      </w:r>
      <w:r>
        <w:t xml:space="preserve">verty rates in the United States and Canada », </w:t>
      </w:r>
      <w:r>
        <w:rPr>
          <w:i/>
        </w:rPr>
        <w:t xml:space="preserve">Quarterly Journal of Economics, </w:t>
      </w:r>
      <w:r>
        <w:t>no 107, février 1992, p. 233- 254.</w:t>
      </w:r>
    </w:p>
  </w:footnote>
  <w:footnote w:id="8">
    <w:p w:rsidR="00F35523" w:rsidRDefault="00F35523" w:rsidP="00F35523">
      <w:pPr>
        <w:pStyle w:val="Notedebasdepage"/>
      </w:pPr>
      <w:r>
        <w:rPr>
          <w:rStyle w:val="Appelnotedebasdep"/>
        </w:rPr>
        <w:footnoteRef/>
      </w:r>
      <w:r>
        <w:tab/>
        <w:t>Pour un survol critique de la question, voir R. Blank et R. Freeman, « Evaluating the connection between social protection and economic flexibil</w:t>
      </w:r>
      <w:r>
        <w:t>i</w:t>
      </w:r>
      <w:r>
        <w:t xml:space="preserve">ty », dans R. Blank (dir.), </w:t>
      </w:r>
      <w:r>
        <w:rPr>
          <w:i/>
        </w:rPr>
        <w:t xml:space="preserve">Social Protection versus Economic Flexibility : Is there a Trade-off ?, </w:t>
      </w:r>
      <w:r>
        <w:t>Chicago, Un</w:t>
      </w:r>
      <w:r>
        <w:t>i</w:t>
      </w:r>
      <w:r>
        <w:t>versity of Chicago Press, 1994, p. 21-41.</w:t>
      </w:r>
    </w:p>
  </w:footnote>
  <w:footnote w:id="9">
    <w:p w:rsidR="00F35523" w:rsidRDefault="00F35523" w:rsidP="00F35523">
      <w:pPr>
        <w:pStyle w:val="Notedebasdepage"/>
      </w:pPr>
      <w:r>
        <w:rPr>
          <w:rStyle w:val="Appelnotedebasdep"/>
        </w:rPr>
        <w:footnoteRef/>
      </w:r>
      <w:r>
        <w:tab/>
        <w:t>K. Abraham et S. Houseman, « Does employment protection inhibit labor market flex</w:t>
      </w:r>
      <w:r>
        <w:t>i</w:t>
      </w:r>
      <w:r>
        <w:t>bility ? Lessons from Germany, France and Belgium », dans R. Blank (dir.), ouvrage c</w:t>
      </w:r>
      <w:r>
        <w:t>i</w:t>
      </w:r>
      <w:r>
        <w:t>té, p. 59-93.</w:t>
      </w:r>
    </w:p>
  </w:footnote>
  <w:footnote w:id="10">
    <w:p w:rsidR="00F35523" w:rsidRDefault="00F35523" w:rsidP="00F35523">
      <w:pPr>
        <w:pStyle w:val="Notedebasdepage"/>
      </w:pPr>
      <w:r>
        <w:rPr>
          <w:rStyle w:val="Appelnotedebasdep"/>
        </w:rPr>
        <w:footnoteRef/>
      </w:r>
      <w:r>
        <w:tab/>
        <w:t>R. Blank et R. Freeman, article cité.</w:t>
      </w:r>
    </w:p>
  </w:footnote>
  <w:footnote w:id="11">
    <w:p w:rsidR="00F35523" w:rsidRDefault="00F35523" w:rsidP="00F35523">
      <w:pPr>
        <w:pStyle w:val="Notedebasdepage"/>
      </w:pPr>
      <w:r>
        <w:rPr>
          <w:rStyle w:val="Appelnotedebasdep"/>
        </w:rPr>
        <w:footnoteRef/>
      </w:r>
      <w:r>
        <w:tab/>
        <w:t xml:space="preserve">J. Delcourt, « Globalisation de l'économie et progrès social. L'État social à l'heure de la mondialisation », </w:t>
      </w:r>
      <w:r>
        <w:rPr>
          <w:i/>
        </w:rPr>
        <w:t xml:space="preserve">Futuribles, </w:t>
      </w:r>
      <w:r>
        <w:t>no 164, 1992, p. 3-34.</w:t>
      </w:r>
    </w:p>
  </w:footnote>
  <w:footnote w:id="12">
    <w:p w:rsidR="00F35523" w:rsidRDefault="00F35523" w:rsidP="00F35523">
      <w:pPr>
        <w:pStyle w:val="Notedebasdepage"/>
      </w:pPr>
      <w:r>
        <w:rPr>
          <w:rStyle w:val="Appelnotedebasdep"/>
        </w:rPr>
        <w:footnoteRef/>
      </w:r>
      <w:r>
        <w:tab/>
        <w:t>J. Jallade, article cité.</w:t>
      </w:r>
    </w:p>
  </w:footnote>
  <w:footnote w:id="13">
    <w:p w:rsidR="00F35523" w:rsidRDefault="00F35523" w:rsidP="00F35523">
      <w:pPr>
        <w:pStyle w:val="Notedebasdepage"/>
      </w:pPr>
      <w:r>
        <w:rPr>
          <w:rStyle w:val="Appelnotedebasdep"/>
        </w:rPr>
        <w:footnoteRef/>
      </w:r>
      <w:r>
        <w:tab/>
        <w:t xml:space="preserve">R. Reich, </w:t>
      </w:r>
      <w:r>
        <w:rPr>
          <w:i/>
        </w:rPr>
        <w:t xml:space="preserve">L'économie mondialisée, </w:t>
      </w:r>
      <w:r>
        <w:t>Paris, Dunod, 1993, p. 268.</w:t>
      </w:r>
    </w:p>
  </w:footnote>
  <w:footnote w:id="14">
    <w:p w:rsidR="00F35523" w:rsidRDefault="00F35523" w:rsidP="00F35523">
      <w:pPr>
        <w:pStyle w:val="Notedebasdepage"/>
      </w:pPr>
      <w:r>
        <w:rPr>
          <w:rStyle w:val="Appelnotedebasdep"/>
        </w:rPr>
        <w:footnoteRef/>
      </w:r>
      <w:r>
        <w:tab/>
        <w:t xml:space="preserve">A. Pfaller, I. Gough et G. Therborn, </w:t>
      </w:r>
      <w:r>
        <w:rPr>
          <w:i/>
        </w:rPr>
        <w:t xml:space="preserve">Can </w:t>
      </w:r>
      <w:r>
        <w:t xml:space="preserve">the </w:t>
      </w:r>
      <w:r>
        <w:rPr>
          <w:i/>
        </w:rPr>
        <w:t>Welfare State Compete ? A Co</w:t>
      </w:r>
      <w:r>
        <w:rPr>
          <w:i/>
        </w:rPr>
        <w:t>m</w:t>
      </w:r>
      <w:r>
        <w:rPr>
          <w:i/>
        </w:rPr>
        <w:t xml:space="preserve">parative </w:t>
      </w:r>
      <w:r w:rsidRPr="008A206B">
        <w:rPr>
          <w:i/>
        </w:rPr>
        <w:t>Study</w:t>
      </w:r>
      <w:r>
        <w:rPr>
          <w:i/>
        </w:rPr>
        <w:t xml:space="preserve"> of Five Advanced Capitalist Countries, </w:t>
      </w:r>
      <w:r>
        <w:t>Londres, Ma</w:t>
      </w:r>
      <w:r>
        <w:t>c</w:t>
      </w:r>
      <w:r>
        <w:t>millan, 1991, p. 5 et suiva</w:t>
      </w:r>
      <w:r>
        <w:t>n</w:t>
      </w:r>
      <w:r>
        <w:t>tes.</w:t>
      </w:r>
    </w:p>
  </w:footnote>
  <w:footnote w:id="15">
    <w:p w:rsidR="00F35523" w:rsidRDefault="00F35523" w:rsidP="00F35523">
      <w:pPr>
        <w:pStyle w:val="Notedebasdepage"/>
      </w:pPr>
      <w:r>
        <w:rPr>
          <w:rStyle w:val="Appelnotedebasdep"/>
        </w:rPr>
        <w:footnoteRef/>
      </w:r>
      <w:r>
        <w:tab/>
      </w:r>
      <w:r>
        <w:rPr>
          <w:i/>
        </w:rPr>
        <w:t xml:space="preserve">Ibid., p. </w:t>
      </w:r>
      <w:r>
        <w:t>15-43 ; R. Blank et R. Freeman, article cité.</w:t>
      </w:r>
    </w:p>
  </w:footnote>
  <w:footnote w:id="16">
    <w:p w:rsidR="00F35523" w:rsidRDefault="00F35523" w:rsidP="00F35523">
      <w:pPr>
        <w:pStyle w:val="Notedebasdepage"/>
      </w:pPr>
      <w:r>
        <w:rPr>
          <w:rStyle w:val="Appelnotedebasdep"/>
        </w:rPr>
        <w:footnoteRef/>
      </w:r>
      <w:r>
        <w:tab/>
        <w:t xml:space="preserve">R. Titmuss, </w:t>
      </w:r>
      <w:r>
        <w:rPr>
          <w:i/>
        </w:rPr>
        <w:t xml:space="preserve">Social Policy, </w:t>
      </w:r>
      <w:r>
        <w:t>Londres, Allan and Urwin, 1974.</w:t>
      </w:r>
    </w:p>
  </w:footnote>
  <w:footnote w:id="17">
    <w:p w:rsidR="00F35523" w:rsidRDefault="00F35523" w:rsidP="00F35523">
      <w:pPr>
        <w:pStyle w:val="Notedebasdepage"/>
      </w:pPr>
      <w:r>
        <w:rPr>
          <w:rStyle w:val="Appelnotedebasdep"/>
        </w:rPr>
        <w:footnoteRef/>
      </w:r>
      <w:r>
        <w:tab/>
        <w:t>P. Chamberlayne, « Income maintenance and institutional forms : A compar</w:t>
      </w:r>
      <w:r>
        <w:t>i</w:t>
      </w:r>
      <w:r>
        <w:t xml:space="preserve">son of France, West Germany, Italy and Britain 1945-1990 », </w:t>
      </w:r>
      <w:r>
        <w:rPr>
          <w:i/>
        </w:rPr>
        <w:t>Policy and Pol</w:t>
      </w:r>
      <w:r>
        <w:rPr>
          <w:i/>
        </w:rPr>
        <w:t>i</w:t>
      </w:r>
      <w:r>
        <w:rPr>
          <w:i/>
        </w:rPr>
        <w:t xml:space="preserve">tics, </w:t>
      </w:r>
      <w:r>
        <w:t>vol. 20, no 4, 1992, p. 299-318.</w:t>
      </w:r>
    </w:p>
  </w:footnote>
  <w:footnote w:id="18">
    <w:p w:rsidR="00F35523" w:rsidRDefault="00F35523" w:rsidP="00F35523">
      <w:pPr>
        <w:pStyle w:val="Notedebasdepage"/>
      </w:pPr>
      <w:r>
        <w:rPr>
          <w:rStyle w:val="Appelnotedebasdep"/>
        </w:rPr>
        <w:footnoteRef/>
      </w:r>
      <w:r>
        <w:tab/>
        <w:t xml:space="preserve">G. Therborn, « Welfare State and capitalist markets », </w:t>
      </w:r>
      <w:r>
        <w:rPr>
          <w:i/>
        </w:rPr>
        <w:t xml:space="preserve">Acta Sociologica, </w:t>
      </w:r>
      <w:r>
        <w:t>vol. 30, nos 3-4, p. 237-254.</w:t>
      </w:r>
    </w:p>
  </w:footnote>
  <w:footnote w:id="19">
    <w:p w:rsidR="00F35523" w:rsidRDefault="00F35523" w:rsidP="00F35523">
      <w:pPr>
        <w:pStyle w:val="Notedebasdepage"/>
      </w:pPr>
      <w:r>
        <w:rPr>
          <w:rStyle w:val="Appelnotedebasdep"/>
        </w:rPr>
        <w:footnoteRef/>
      </w:r>
      <w:r>
        <w:tab/>
        <w:t xml:space="preserve">G. Esping-Andersen, </w:t>
      </w:r>
      <w:r>
        <w:rPr>
          <w:i/>
        </w:rPr>
        <w:t xml:space="preserve">The Three Worlds of Welfare Capitalism, </w:t>
      </w:r>
      <w:r>
        <w:t>Princeton, Princeton University Press, 1990.</w:t>
      </w:r>
    </w:p>
  </w:footnote>
  <w:footnote w:id="20">
    <w:p w:rsidR="00F35523" w:rsidRDefault="00F35523" w:rsidP="00F35523">
      <w:pPr>
        <w:pStyle w:val="Notedebasdepage"/>
      </w:pPr>
      <w:r>
        <w:rPr>
          <w:rStyle w:val="Appelnotedebasdep"/>
        </w:rPr>
        <w:footnoteRef/>
      </w:r>
      <w:r>
        <w:tab/>
        <w:t>K. Doogan, « The social charter and the europeanisation of employment and social p</w:t>
      </w:r>
      <w:r>
        <w:t>o</w:t>
      </w:r>
      <w:r>
        <w:t xml:space="preserve">licy », </w:t>
      </w:r>
      <w:r>
        <w:rPr>
          <w:i/>
        </w:rPr>
        <w:t xml:space="preserve">Policy and Politics, </w:t>
      </w:r>
      <w:r>
        <w:t>vol. 20, no 3, 1992, p. 167-176.</w:t>
      </w:r>
    </w:p>
  </w:footnote>
  <w:footnote w:id="21">
    <w:p w:rsidR="00F35523" w:rsidRDefault="00F35523" w:rsidP="00F35523">
      <w:pPr>
        <w:pStyle w:val="Notedebasdepage"/>
      </w:pPr>
      <w:r>
        <w:rPr>
          <w:rStyle w:val="Appelnotedebasdep"/>
        </w:rPr>
        <w:footnoteRef/>
      </w:r>
      <w:r>
        <w:tab/>
        <w:t>J. Kolberg et H. Uusitalo, « The interface between the economy and the We</w:t>
      </w:r>
      <w:r>
        <w:t>l</w:t>
      </w:r>
      <w:r>
        <w:t>fare State : A sociological account », dans Z. Ferge et J. Kolberg, ouvr. cité, p. 77-94 ; S. Libfried, « Towards a european Welfare State ? On integrating p</w:t>
      </w:r>
      <w:r>
        <w:t>o</w:t>
      </w:r>
      <w:r>
        <w:t>verty regimes into the european community », dans Z. Ferge et I. Kolberg, ouvr. cité, p. 245-279.</w:t>
      </w:r>
    </w:p>
  </w:footnote>
  <w:footnote w:id="22">
    <w:p w:rsidR="00F35523" w:rsidRDefault="00F35523" w:rsidP="00F35523">
      <w:pPr>
        <w:pStyle w:val="Notedebasdepage"/>
      </w:pPr>
      <w:r>
        <w:rPr>
          <w:rStyle w:val="Appelnotedebasdep"/>
        </w:rPr>
        <w:footnoteRef/>
      </w:r>
      <w:r>
        <w:tab/>
      </w:r>
      <w:r w:rsidRPr="000A24D6">
        <w:rPr>
          <w:i/>
        </w:rPr>
        <w:t>Ibid</w:t>
      </w:r>
      <w:r>
        <w:t>.</w:t>
      </w:r>
    </w:p>
  </w:footnote>
  <w:footnote w:id="23">
    <w:p w:rsidR="00F35523" w:rsidRDefault="00F35523" w:rsidP="00F35523">
      <w:pPr>
        <w:pStyle w:val="Notedebasdepage"/>
      </w:pPr>
      <w:r>
        <w:rPr>
          <w:rStyle w:val="Appelnotedebasdep"/>
        </w:rPr>
        <w:footnoteRef/>
      </w:r>
      <w:r>
        <w:tab/>
        <w:t>H. Huber, C. Ragin et J. D. Stephens, « Social democracy, christian democr</w:t>
      </w:r>
      <w:r>
        <w:t>a</w:t>
      </w:r>
      <w:r>
        <w:t xml:space="preserve">cy, constitutional structure, and the Welfare State », </w:t>
      </w:r>
      <w:r>
        <w:rPr>
          <w:i/>
        </w:rPr>
        <w:t>American Journal of S</w:t>
      </w:r>
      <w:r>
        <w:rPr>
          <w:i/>
        </w:rPr>
        <w:t>o</w:t>
      </w:r>
      <w:r>
        <w:rPr>
          <w:i/>
        </w:rPr>
        <w:t xml:space="preserve">ciology. </w:t>
      </w:r>
      <w:r>
        <w:t>vol. 99, no 3, 1993, p. 711-749.</w:t>
      </w:r>
    </w:p>
  </w:footnote>
  <w:footnote w:id="24">
    <w:p w:rsidR="00F35523" w:rsidRDefault="00F35523" w:rsidP="00F35523">
      <w:pPr>
        <w:pStyle w:val="Notedebasdepage"/>
      </w:pPr>
      <w:r>
        <w:rPr>
          <w:rStyle w:val="Appelnotedebasdep"/>
        </w:rPr>
        <w:footnoteRef/>
      </w:r>
      <w:r>
        <w:tab/>
        <w:t xml:space="preserve">S. Rosenberg, « The more decentralized mode of labor market regulation in the United States », </w:t>
      </w:r>
      <w:r>
        <w:rPr>
          <w:i/>
        </w:rPr>
        <w:t xml:space="preserve">Économies et sociétés, </w:t>
      </w:r>
      <w:r>
        <w:t>série « Économie du travail », no 18, 8, 1994, p. 35-58.</w:t>
      </w:r>
    </w:p>
  </w:footnote>
  <w:footnote w:id="25">
    <w:p w:rsidR="00F35523" w:rsidRDefault="00F35523" w:rsidP="00F35523">
      <w:pPr>
        <w:pStyle w:val="Notedebasdepage"/>
      </w:pPr>
      <w:r>
        <w:rPr>
          <w:rStyle w:val="Appelnotedebasdep"/>
        </w:rPr>
        <w:footnoteRef/>
      </w:r>
      <w:r>
        <w:tab/>
        <w:t>G. Esping-Andersen, ouvrage cité.</w:t>
      </w:r>
    </w:p>
  </w:footnote>
  <w:footnote w:id="26">
    <w:p w:rsidR="00F35523" w:rsidRDefault="00F35523" w:rsidP="00F35523">
      <w:pPr>
        <w:pStyle w:val="Notedebasdepage"/>
      </w:pPr>
      <w:r>
        <w:rPr>
          <w:rStyle w:val="Appelnotedebasdep"/>
        </w:rPr>
        <w:footnoteRef/>
      </w:r>
      <w:r>
        <w:tab/>
        <w:t>D. Sainsbury, « Analyzing Welfare State variations : The merits and limit</w:t>
      </w:r>
      <w:r>
        <w:t>a</w:t>
      </w:r>
      <w:r>
        <w:t xml:space="preserve">tions of models based on the residual-institutional distinction », </w:t>
      </w:r>
      <w:r>
        <w:rPr>
          <w:i/>
        </w:rPr>
        <w:t>Scandin</w:t>
      </w:r>
      <w:r>
        <w:rPr>
          <w:i/>
        </w:rPr>
        <w:t>a</w:t>
      </w:r>
      <w:r>
        <w:rPr>
          <w:i/>
        </w:rPr>
        <w:t xml:space="preserve">vian Political Studies, </w:t>
      </w:r>
      <w:r>
        <w:t>vol. 14, no 1, 1991.</w:t>
      </w:r>
    </w:p>
  </w:footnote>
  <w:footnote w:id="27">
    <w:p w:rsidR="00F35523" w:rsidRDefault="00F35523" w:rsidP="00F35523">
      <w:pPr>
        <w:pStyle w:val="Notedebasdepage"/>
      </w:pPr>
      <w:r>
        <w:rPr>
          <w:rStyle w:val="Appelnotedebasdep"/>
        </w:rPr>
        <w:footnoteRef/>
      </w:r>
      <w:r>
        <w:tab/>
        <w:t xml:space="preserve">R. Reich, ouvrage cité ; J. Mazier, M. Basle et J. Vidal, </w:t>
      </w:r>
      <w:r>
        <w:rPr>
          <w:i/>
        </w:rPr>
        <w:t>Quand les crises d</w:t>
      </w:r>
      <w:r>
        <w:rPr>
          <w:i/>
        </w:rPr>
        <w:t>u</w:t>
      </w:r>
      <w:r>
        <w:rPr>
          <w:i/>
        </w:rPr>
        <w:t xml:space="preserve">rent..., </w:t>
      </w:r>
      <w:r>
        <w:t>P</w:t>
      </w:r>
      <w:r>
        <w:t>a</w:t>
      </w:r>
      <w:r>
        <w:t>ris, Economica, 1993, p. 387-398.</w:t>
      </w:r>
    </w:p>
  </w:footnote>
  <w:footnote w:id="28">
    <w:p w:rsidR="00F35523" w:rsidRDefault="00F35523" w:rsidP="00F35523">
      <w:pPr>
        <w:pStyle w:val="Notedebasdepage"/>
      </w:pPr>
      <w:r>
        <w:rPr>
          <w:rStyle w:val="Appelnotedebasdep"/>
        </w:rPr>
        <w:footnoteRef/>
      </w:r>
      <w:r>
        <w:tab/>
        <w:t xml:space="preserve">L. Salamon, « The marketization of welfare : Changing nonprofit and for-profit roles in the american Welfare State » </w:t>
      </w:r>
      <w:r>
        <w:rPr>
          <w:i/>
        </w:rPr>
        <w:t xml:space="preserve">Social Service Review, </w:t>
      </w:r>
      <w:r>
        <w:t>mars, 1993, p. 17-39.</w:t>
      </w:r>
    </w:p>
  </w:footnote>
  <w:footnote w:id="29">
    <w:p w:rsidR="00F35523" w:rsidRDefault="00F35523" w:rsidP="00F35523">
      <w:pPr>
        <w:pStyle w:val="Notedebasdepage"/>
      </w:pPr>
      <w:r>
        <w:rPr>
          <w:rStyle w:val="Appelnotedebasdep"/>
        </w:rPr>
        <w:footnoteRef/>
      </w:r>
      <w:r>
        <w:tab/>
        <w:t xml:space="preserve">D. Guest, </w:t>
      </w:r>
      <w:r>
        <w:rPr>
          <w:i/>
        </w:rPr>
        <w:t xml:space="preserve">The Emergence of Social Security in Canada, </w:t>
      </w:r>
      <w:r>
        <w:t>Vancouver, Univers</w:t>
      </w:r>
      <w:r>
        <w:t>i</w:t>
      </w:r>
      <w:r>
        <w:t>ty of Br</w:t>
      </w:r>
      <w:r>
        <w:t>i</w:t>
      </w:r>
      <w:r>
        <w:t>tish Columbia Press, 1985.</w:t>
      </w:r>
    </w:p>
  </w:footnote>
  <w:footnote w:id="30">
    <w:p w:rsidR="00F35523" w:rsidRDefault="00F35523" w:rsidP="00F35523">
      <w:pPr>
        <w:pStyle w:val="Notedebasdepage"/>
      </w:pPr>
      <w:r>
        <w:rPr>
          <w:rStyle w:val="Appelnotedebasdep"/>
        </w:rPr>
        <w:footnoteRef/>
      </w:r>
      <w:r>
        <w:tab/>
        <w:t xml:space="preserve">D. Guest, « Canadian and american income security responses to five major risks : A comparison », dans G. Drover (dir.), </w:t>
      </w:r>
      <w:r>
        <w:rPr>
          <w:i/>
        </w:rPr>
        <w:t xml:space="preserve">Free Trade and Social Policy, </w:t>
      </w:r>
      <w:r>
        <w:t>Canadian Council on Social Development, Ottawa-Montréal, 1988, p. 88.</w:t>
      </w:r>
    </w:p>
  </w:footnote>
  <w:footnote w:id="31">
    <w:p w:rsidR="00F35523" w:rsidRDefault="00F35523" w:rsidP="00F35523">
      <w:pPr>
        <w:pStyle w:val="Notedebasdepage"/>
      </w:pPr>
      <w:r>
        <w:rPr>
          <w:rStyle w:val="Appelnotedebasdep"/>
        </w:rPr>
        <w:footnoteRef/>
      </w:r>
      <w:r>
        <w:tab/>
        <w:t xml:space="preserve">Conseil national du Bien-être social, </w:t>
      </w:r>
      <w:r>
        <w:rPr>
          <w:i/>
        </w:rPr>
        <w:t xml:space="preserve">Guide des pensions, </w:t>
      </w:r>
      <w:r>
        <w:t>1989, p. 53.</w:t>
      </w:r>
    </w:p>
  </w:footnote>
  <w:footnote w:id="32">
    <w:p w:rsidR="00F35523" w:rsidRDefault="00F35523" w:rsidP="00F35523">
      <w:pPr>
        <w:pStyle w:val="Notedebasdepage"/>
      </w:pPr>
      <w:r>
        <w:rPr>
          <w:rStyle w:val="Appelnotedebasdep"/>
        </w:rPr>
        <w:footnoteRef/>
      </w:r>
      <w:r>
        <w:tab/>
        <w:t xml:space="preserve">Conseil national du Bien-être social, </w:t>
      </w:r>
      <w:r>
        <w:rPr>
          <w:i/>
        </w:rPr>
        <w:t xml:space="preserve">Réforme des pensions, </w:t>
      </w:r>
      <w:r>
        <w:t xml:space="preserve">1990, p. 6-7 ; John Myles et Les Teichroew, « The politics of dualism : Pension policy in Canada », dans J. Myles et J. Quadagno (dir.), </w:t>
      </w:r>
      <w:r>
        <w:rPr>
          <w:i/>
        </w:rPr>
        <w:t xml:space="preserve">States, Labor Markets, and the Future of Old-age Policy, </w:t>
      </w:r>
      <w:r>
        <w:t>Phil</w:t>
      </w:r>
      <w:r>
        <w:t>a</w:t>
      </w:r>
      <w:r>
        <w:t>delphie, Temple University Press, 1991, p. 84-104.</w:t>
      </w:r>
    </w:p>
  </w:footnote>
  <w:footnote w:id="33">
    <w:p w:rsidR="00F35523" w:rsidRDefault="00F35523" w:rsidP="00F35523">
      <w:pPr>
        <w:pStyle w:val="Notedebasdepage"/>
      </w:pPr>
      <w:r>
        <w:rPr>
          <w:rStyle w:val="Appelnotedebasdep"/>
        </w:rPr>
        <w:footnoteRef/>
      </w:r>
      <w:r>
        <w:tab/>
      </w:r>
      <w:r>
        <w:rPr>
          <w:i/>
        </w:rPr>
        <w:t xml:space="preserve">Statistical Abstract of the United States 1990-1991, US </w:t>
      </w:r>
      <w:r>
        <w:t>Department of Co</w:t>
      </w:r>
      <w:r>
        <w:t>m</w:t>
      </w:r>
      <w:r>
        <w:t>merce B</w:t>
      </w:r>
      <w:r>
        <w:t>u</w:t>
      </w:r>
      <w:r>
        <w:t>reau of the Census, USA, 1990, 1991.</w:t>
      </w:r>
    </w:p>
  </w:footnote>
  <w:footnote w:id="34">
    <w:p w:rsidR="00F35523" w:rsidRDefault="00F35523" w:rsidP="00F35523">
      <w:pPr>
        <w:pStyle w:val="Notedebasdepage"/>
      </w:pPr>
      <w:r>
        <w:rPr>
          <w:rStyle w:val="Appelnotedebasdep"/>
        </w:rPr>
        <w:footnoteRef/>
      </w:r>
      <w:r>
        <w:tab/>
        <w:t>S. Phipps, « The impact of the unemployment insurance reform of 1990 on single ea</w:t>
      </w:r>
      <w:r>
        <w:t>r</w:t>
      </w:r>
      <w:r>
        <w:t xml:space="preserve">ners », </w:t>
      </w:r>
      <w:r>
        <w:rPr>
          <w:i/>
        </w:rPr>
        <w:t xml:space="preserve">Analyse de politiques, </w:t>
      </w:r>
      <w:r>
        <w:t xml:space="preserve">no 3, 1990, p. </w:t>
      </w:r>
      <w:r>
        <w:rPr>
          <w:i/>
        </w:rPr>
        <w:t xml:space="preserve">253 ; </w:t>
      </w:r>
      <w:r>
        <w:t>E. Nyahoho, « Éléments de comp</w:t>
      </w:r>
      <w:r>
        <w:t>a</w:t>
      </w:r>
      <w:r>
        <w:t xml:space="preserve">raison des régimes d'assurance-chômage canadien et américain », </w:t>
      </w:r>
      <w:r>
        <w:rPr>
          <w:i/>
        </w:rPr>
        <w:t>L'Actualité économ</w:t>
      </w:r>
      <w:r>
        <w:rPr>
          <w:i/>
        </w:rPr>
        <w:t>i</w:t>
      </w:r>
      <w:r>
        <w:rPr>
          <w:i/>
        </w:rPr>
        <w:t xml:space="preserve">que, vol. 67, </w:t>
      </w:r>
      <w:r>
        <w:t xml:space="preserve">no </w:t>
      </w:r>
      <w:r>
        <w:rPr>
          <w:i/>
        </w:rPr>
        <w:t xml:space="preserve">2, </w:t>
      </w:r>
      <w:r>
        <w:t xml:space="preserve">1991 ; G. Boismenu et B. Henry, </w:t>
      </w:r>
      <w:r>
        <w:rPr>
          <w:i/>
        </w:rPr>
        <w:t>La valorisation des mesures actives d'emploi dans un contexte de re</w:t>
      </w:r>
      <w:r>
        <w:rPr>
          <w:i/>
        </w:rPr>
        <w:t>s</w:t>
      </w:r>
      <w:r>
        <w:rPr>
          <w:i/>
        </w:rPr>
        <w:t xml:space="preserve">trictions budgétaires. Les politiques fédérales depuis le milieu des années 1980, </w:t>
      </w:r>
      <w:r>
        <w:t>texte polycopié, 1994 ; S. Rosenberg, « The more decentral</w:t>
      </w:r>
      <w:r>
        <w:t>i</w:t>
      </w:r>
      <w:r>
        <w:t xml:space="preserve">zed mode of labor market regulation in the United States », art. cité, </w:t>
      </w:r>
      <w:r>
        <w:rPr>
          <w:i/>
        </w:rPr>
        <w:t>p. 35-58.</w:t>
      </w:r>
    </w:p>
  </w:footnote>
  <w:footnote w:id="35">
    <w:p w:rsidR="00F35523" w:rsidRDefault="00F35523" w:rsidP="00F35523">
      <w:pPr>
        <w:pStyle w:val="Notedebasdepage"/>
      </w:pPr>
      <w:r>
        <w:rPr>
          <w:rStyle w:val="Appelnotedebasdep"/>
        </w:rPr>
        <w:footnoteRef/>
      </w:r>
      <w:r>
        <w:tab/>
        <w:t xml:space="preserve">F. Lesemann, </w:t>
      </w:r>
      <w:r>
        <w:rPr>
          <w:i/>
        </w:rPr>
        <w:t xml:space="preserve">La politique sociale américaine. </w:t>
      </w:r>
      <w:r>
        <w:t xml:space="preserve">Montréal et Paris, Éditions Saint-Martin et Syros, 1988 ; S. A. Levitan, </w:t>
      </w:r>
      <w:r>
        <w:rPr>
          <w:i/>
        </w:rPr>
        <w:t xml:space="preserve">Programs in Aid of the Poor, </w:t>
      </w:r>
      <w:r>
        <w:t>Ba</w:t>
      </w:r>
      <w:r>
        <w:t>l</w:t>
      </w:r>
      <w:r>
        <w:t>timore, The Johns Hopkins University Press, 1990 ; S. Rosenberg, article cité.</w:t>
      </w:r>
    </w:p>
  </w:footnote>
  <w:footnote w:id="36">
    <w:p w:rsidR="00F35523" w:rsidRDefault="00F35523" w:rsidP="00F35523">
      <w:pPr>
        <w:pStyle w:val="Notedebasdepage"/>
      </w:pPr>
      <w:r>
        <w:rPr>
          <w:rStyle w:val="Appelnotedebasdep"/>
        </w:rPr>
        <w:footnoteRef/>
      </w:r>
      <w:r>
        <w:tab/>
        <w:t xml:space="preserve">Conseil national du bien-être social, </w:t>
      </w:r>
      <w:r>
        <w:rPr>
          <w:i/>
        </w:rPr>
        <w:t xml:space="preserve">Réforme du bien-être social, </w:t>
      </w:r>
      <w:r>
        <w:t>Approv</w:t>
      </w:r>
      <w:r>
        <w:t>i</w:t>
      </w:r>
      <w:r>
        <w:t>sionnements et Services Canada, 1992.</w:t>
      </w:r>
    </w:p>
  </w:footnote>
  <w:footnote w:id="37">
    <w:p w:rsidR="00F35523" w:rsidRDefault="00F35523" w:rsidP="00F35523">
      <w:pPr>
        <w:pStyle w:val="Notedebasdepage"/>
      </w:pPr>
      <w:r>
        <w:rPr>
          <w:rStyle w:val="Appelnotedebasdep"/>
        </w:rPr>
        <w:footnoteRef/>
      </w:r>
      <w:r>
        <w:tab/>
        <w:t>Ibid.</w:t>
      </w:r>
    </w:p>
  </w:footnote>
  <w:footnote w:id="38">
    <w:p w:rsidR="00F35523" w:rsidRDefault="00F35523" w:rsidP="00F35523">
      <w:pPr>
        <w:pStyle w:val="Notedebasdepage"/>
      </w:pPr>
      <w:r>
        <w:rPr>
          <w:rStyle w:val="Appelnotedebasdep"/>
        </w:rPr>
        <w:footnoteRef/>
      </w:r>
      <w:r>
        <w:tab/>
        <w:t xml:space="preserve">Voir, à ce sujet, J. I. Gow, A. Noël, et P. Villeneuve, « Les contrôles à l'aide sociale : l’expérience québécoise des visites à domicile », </w:t>
      </w:r>
      <w:r>
        <w:rPr>
          <w:i/>
        </w:rPr>
        <w:t>Analyse de polit</w:t>
      </w:r>
      <w:r>
        <w:rPr>
          <w:i/>
        </w:rPr>
        <w:t>i</w:t>
      </w:r>
      <w:r>
        <w:rPr>
          <w:i/>
        </w:rPr>
        <w:t xml:space="preserve">ques, </w:t>
      </w:r>
      <w:r>
        <w:t>vol. 21, no 1, mars 1995, p. 31-52.</w:t>
      </w:r>
    </w:p>
  </w:footnote>
  <w:footnote w:id="39">
    <w:p w:rsidR="00F35523" w:rsidRDefault="00F35523" w:rsidP="00F35523">
      <w:pPr>
        <w:pStyle w:val="Notedebasdepage"/>
      </w:pPr>
      <w:r>
        <w:rPr>
          <w:rStyle w:val="Appelnotedebasdep"/>
        </w:rPr>
        <w:footnoteRef/>
      </w:r>
      <w:r>
        <w:tab/>
        <w:t>G. Boismenu, « La spécialisation des clientèles : panacée ou nouvelle ut</w:t>
      </w:r>
      <w:r>
        <w:t>o</w:t>
      </w:r>
      <w:r>
        <w:t xml:space="preserve">pie ? », dans G. Boismenu, P. Hamel et G. Labica (dir.), </w:t>
      </w:r>
      <w:r>
        <w:rPr>
          <w:i/>
        </w:rPr>
        <w:t>Les formes mode</w:t>
      </w:r>
      <w:r>
        <w:rPr>
          <w:i/>
        </w:rPr>
        <w:t>r</w:t>
      </w:r>
      <w:r>
        <w:rPr>
          <w:i/>
        </w:rPr>
        <w:t xml:space="preserve">nes de la démocratie, </w:t>
      </w:r>
      <w:r>
        <w:t>Montréal et Paris, Presses de l'Université de Montréal et L'Harmattan, 1992, p. 113- 121.</w:t>
      </w:r>
    </w:p>
  </w:footnote>
  <w:footnote w:id="40">
    <w:p w:rsidR="00F35523" w:rsidRDefault="00F35523" w:rsidP="00F35523">
      <w:pPr>
        <w:pStyle w:val="Notedebasdepage"/>
      </w:pPr>
      <w:r>
        <w:rPr>
          <w:rStyle w:val="Appelnotedebasdep"/>
        </w:rPr>
        <w:footnoteRef/>
      </w:r>
      <w:r>
        <w:tab/>
        <w:t>G. Boismenu, « L'enjeu de la protection sociale dans le cadre de l'ALENA », Mexico, El Colegio de Mexico, 1995 ; G. Drover, « Lament for a Welfare St</w:t>
      </w:r>
      <w:r>
        <w:t>a</w:t>
      </w:r>
      <w:r>
        <w:t>te — It didn't die during the 1980's, but the Welfare State that holds C</w:t>
      </w:r>
      <w:r>
        <w:t>a</w:t>
      </w:r>
      <w:r>
        <w:t xml:space="preserve">nada together was dealt a heavy blow », </w:t>
      </w:r>
      <w:r>
        <w:rPr>
          <w:i/>
        </w:rPr>
        <w:t xml:space="preserve">Perception, </w:t>
      </w:r>
      <w:r>
        <w:t>vol. 14, no 2, 1990 ; G. Dr</w:t>
      </w:r>
      <w:r>
        <w:t>o</w:t>
      </w:r>
      <w:r>
        <w:t xml:space="preserve">ver, </w:t>
      </w:r>
      <w:r>
        <w:rPr>
          <w:i/>
        </w:rPr>
        <w:t xml:space="preserve">Le libre-échange et l'universalité, </w:t>
      </w:r>
      <w:r>
        <w:t>communication présentée au co</w:t>
      </w:r>
      <w:r>
        <w:t>l</w:t>
      </w:r>
      <w:r>
        <w:t>loque « Politiques économiques et politiques sociales : 18 mois après le traité de l</w:t>
      </w:r>
      <w:r>
        <w:t>i</w:t>
      </w:r>
      <w:r>
        <w:t>bre échange », Montréal, 1990 ; E. Gee et S. McDaniel, « Pension p</w:t>
      </w:r>
      <w:r>
        <w:t>o</w:t>
      </w:r>
      <w:r>
        <w:t xml:space="preserve">litics and challenges : Retirement policy implications », </w:t>
      </w:r>
      <w:r>
        <w:rPr>
          <w:i/>
        </w:rPr>
        <w:t>Analyse de polit</w:t>
      </w:r>
      <w:r>
        <w:rPr>
          <w:i/>
        </w:rPr>
        <w:t>i</w:t>
      </w:r>
      <w:r>
        <w:rPr>
          <w:i/>
        </w:rPr>
        <w:t xml:space="preserve">ques, </w:t>
      </w:r>
      <w:r>
        <w:t>vol. 17, no 4, 1991.</w:t>
      </w:r>
    </w:p>
  </w:footnote>
  <w:footnote w:id="41">
    <w:p w:rsidR="00F35523" w:rsidRDefault="00F35523" w:rsidP="00F35523">
      <w:pPr>
        <w:pStyle w:val="Notedebasdepage"/>
      </w:pPr>
      <w:r>
        <w:rPr>
          <w:rStyle w:val="Appelnotedebasdep"/>
        </w:rPr>
        <w:footnoteRef/>
      </w:r>
      <w:r>
        <w:tab/>
        <w:t xml:space="preserve">G. Gray, « Social policy by stealth », </w:t>
      </w:r>
      <w:r>
        <w:rPr>
          <w:i/>
        </w:rPr>
        <w:t xml:space="preserve">Policy Options, </w:t>
      </w:r>
      <w:r>
        <w:t>mars 1990.</w:t>
      </w:r>
    </w:p>
  </w:footnote>
  <w:footnote w:id="42">
    <w:p w:rsidR="00F35523" w:rsidRDefault="00F35523" w:rsidP="00F35523">
      <w:pPr>
        <w:pStyle w:val="Notedebasdepage"/>
      </w:pPr>
      <w:r>
        <w:rPr>
          <w:rStyle w:val="Appelnotedebasdep"/>
        </w:rPr>
        <w:footnoteRef/>
      </w:r>
      <w:r>
        <w:tab/>
        <w:t xml:space="preserve">P. Wilding, « The british Welfare State : Thatcherism's enduring legacy », </w:t>
      </w:r>
      <w:r>
        <w:rPr>
          <w:i/>
        </w:rPr>
        <w:t xml:space="preserve">Policy and Politics, </w:t>
      </w:r>
      <w:r>
        <w:t>vol. 20, no 3, 1992, p. 201-212.</w:t>
      </w:r>
    </w:p>
  </w:footnote>
  <w:footnote w:id="43">
    <w:p w:rsidR="00F35523" w:rsidRDefault="00F35523" w:rsidP="00F35523">
      <w:pPr>
        <w:pStyle w:val="Notedebasdepage"/>
      </w:pPr>
      <w:r>
        <w:rPr>
          <w:rStyle w:val="Appelnotedebasdep"/>
        </w:rPr>
        <w:footnoteRef/>
      </w:r>
      <w:r>
        <w:tab/>
        <w:t xml:space="preserve">F. Gaffikin et M. Morrissey, « Poverty in the 1980s : A comparison of the United States and the United Kingdom », </w:t>
      </w:r>
      <w:r>
        <w:rPr>
          <w:i/>
        </w:rPr>
        <w:t xml:space="preserve">Policy and Politics, </w:t>
      </w:r>
      <w:r>
        <w:t>vol. 22, no 1, 1994, p. 43- 58.</w:t>
      </w:r>
    </w:p>
  </w:footnote>
  <w:footnote w:id="44">
    <w:p w:rsidR="00F35523" w:rsidRDefault="00F35523" w:rsidP="00F35523">
      <w:pPr>
        <w:pStyle w:val="Notedebasdepage"/>
      </w:pPr>
      <w:r>
        <w:rPr>
          <w:rStyle w:val="Appelnotedebasdep"/>
        </w:rPr>
        <w:footnoteRef/>
      </w:r>
      <w:r>
        <w:tab/>
        <w:t>A. Sinfield, article cité.</w:t>
      </w:r>
    </w:p>
  </w:footnote>
  <w:footnote w:id="45">
    <w:p w:rsidR="00F35523" w:rsidRDefault="00F35523" w:rsidP="00F35523">
      <w:pPr>
        <w:pStyle w:val="Notedebasdepage"/>
      </w:pPr>
      <w:r>
        <w:rPr>
          <w:rStyle w:val="Appelnotedebasdep"/>
        </w:rPr>
        <w:footnoteRef/>
      </w:r>
      <w:r>
        <w:tab/>
        <w:t xml:space="preserve">D. S. King et </w:t>
      </w:r>
      <w:r>
        <w:rPr>
          <w:i/>
        </w:rPr>
        <w:t xml:space="preserve">H. </w:t>
      </w:r>
      <w:r>
        <w:t xml:space="preserve">Ward, « Working for benefits : Rational choice and the rise of work-welfare programmes », </w:t>
      </w:r>
      <w:r>
        <w:rPr>
          <w:i/>
        </w:rPr>
        <w:t xml:space="preserve">Political Studies, </w:t>
      </w:r>
      <w:r>
        <w:t>vol. 40, no 3, p. 479- 495 ; D. S. King, « The conservatives and training policy 1979-1992 : From a tr</w:t>
      </w:r>
      <w:r>
        <w:t>i</w:t>
      </w:r>
      <w:r>
        <w:t xml:space="preserve">partite to a neoliberal regime », </w:t>
      </w:r>
      <w:r>
        <w:rPr>
          <w:i/>
        </w:rPr>
        <w:t xml:space="preserve">Political Studies, </w:t>
      </w:r>
      <w:r>
        <w:t>vol. 61, no 2, p. 214-235.</w:t>
      </w:r>
    </w:p>
  </w:footnote>
  <w:footnote w:id="46">
    <w:p w:rsidR="00F35523" w:rsidRDefault="00F35523" w:rsidP="00F35523">
      <w:pPr>
        <w:pStyle w:val="Notedebasdepage"/>
      </w:pPr>
      <w:r>
        <w:rPr>
          <w:rStyle w:val="Appelnotedebasdep"/>
        </w:rPr>
        <w:footnoteRef/>
      </w:r>
      <w:r>
        <w:tab/>
        <w:t xml:space="preserve">A. Pfaller, L Gough et G. Therborn, ouvr. cité, p 143 et suiv. et p. 274 ; P. Pierson et M. Smith, « Bourgeois revolutions ? The policy consequences of resurgent conservatism », </w:t>
      </w:r>
      <w:r>
        <w:rPr>
          <w:i/>
        </w:rPr>
        <w:t xml:space="preserve">Comparative Political Studies, </w:t>
      </w:r>
      <w:r>
        <w:t>vol. 25, no 4, 1993, p. 487-520.</w:t>
      </w:r>
    </w:p>
  </w:footnote>
  <w:footnote w:id="47">
    <w:p w:rsidR="00F35523" w:rsidRDefault="00F35523" w:rsidP="00F35523">
      <w:pPr>
        <w:pStyle w:val="Notedebasdepage"/>
      </w:pPr>
      <w:r>
        <w:rPr>
          <w:rStyle w:val="Appelnotedebasdep"/>
        </w:rPr>
        <w:footnoteRef/>
      </w:r>
      <w:r>
        <w:tab/>
        <w:t>G. Boismenu, « Systèmes de représentation des intérêts et configurations pol</w:t>
      </w:r>
      <w:r>
        <w:t>i</w:t>
      </w:r>
      <w:r>
        <w:t xml:space="preserve">tiques : les sociétés occidentales en perspective comparée », </w:t>
      </w:r>
      <w:r>
        <w:rPr>
          <w:i/>
        </w:rPr>
        <w:t>Revue canadie</w:t>
      </w:r>
      <w:r>
        <w:rPr>
          <w:i/>
        </w:rPr>
        <w:t>n</w:t>
      </w:r>
      <w:r>
        <w:rPr>
          <w:i/>
        </w:rPr>
        <w:t>ne de science pol</w:t>
      </w:r>
      <w:r>
        <w:rPr>
          <w:i/>
        </w:rPr>
        <w:t>i</w:t>
      </w:r>
      <w:r>
        <w:rPr>
          <w:i/>
        </w:rPr>
        <w:t xml:space="preserve">tique </w:t>
      </w:r>
      <w:r>
        <w:t>vol. 27, no 2, 1994, p. 309-343.</w:t>
      </w:r>
    </w:p>
  </w:footnote>
  <w:footnote w:id="48">
    <w:p w:rsidR="00F35523" w:rsidRDefault="00F35523" w:rsidP="00F35523">
      <w:pPr>
        <w:pStyle w:val="Notedebasdepage"/>
      </w:pPr>
      <w:r>
        <w:rPr>
          <w:rStyle w:val="Appelnotedebasdep"/>
        </w:rPr>
        <w:footnoteRef/>
      </w:r>
      <w:r>
        <w:tab/>
        <w:t xml:space="preserve">G. Boismenu, « Protection sociale et stratégie défensive au Canada et aux États-Unis », dans C. Deblock et Dorval Brunelle (dir.), </w:t>
      </w:r>
      <w:r>
        <w:rPr>
          <w:i/>
        </w:rPr>
        <w:t>Amérique du Nord, Communauté europée</w:t>
      </w:r>
      <w:r>
        <w:rPr>
          <w:i/>
        </w:rPr>
        <w:t>n</w:t>
      </w:r>
      <w:r>
        <w:rPr>
          <w:i/>
        </w:rPr>
        <w:t xml:space="preserve">ne : intégration économique, intégration sociale ?, </w:t>
      </w:r>
      <w:r>
        <w:t>Québec, Presses de l'Université du Québec, 1994, p. 403-420 ; D. Leborgne et A. Lipietz, « Flexibilité offensive, flexibilité défensive. Deux stratégies soci</w:t>
      </w:r>
      <w:r>
        <w:t>a</w:t>
      </w:r>
      <w:r>
        <w:t>les dans la production des nouveaux espaces économ</w:t>
      </w:r>
      <w:r>
        <w:t>i</w:t>
      </w:r>
      <w:r>
        <w:t xml:space="preserve">ques », dans G. Benko et A. Lipietz (dir.), </w:t>
      </w:r>
      <w:r>
        <w:rPr>
          <w:i/>
        </w:rPr>
        <w:t xml:space="preserve">Les régions qui </w:t>
      </w:r>
      <w:r>
        <w:t>gagnent, Paris, PUF, 1992, p. 355-373.</w:t>
      </w:r>
    </w:p>
  </w:footnote>
  <w:footnote w:id="49">
    <w:p w:rsidR="00F35523" w:rsidRDefault="00F35523" w:rsidP="00F35523">
      <w:pPr>
        <w:pStyle w:val="Notedebasdepage"/>
      </w:pPr>
      <w:r>
        <w:rPr>
          <w:rStyle w:val="Appelnotedebasdep"/>
        </w:rPr>
        <w:footnoteRef/>
      </w:r>
      <w:r>
        <w:tab/>
        <w:t>R. Boyer, Labour Institutions and Economic Growth : A Survey and a "Reg</w:t>
      </w:r>
      <w:r>
        <w:t>u</w:t>
      </w:r>
      <w:r>
        <w:t>lationist" Approach, Paris, CEPREMAP, 1992, p. 42.</w:t>
      </w:r>
    </w:p>
  </w:footnote>
  <w:footnote w:id="50">
    <w:p w:rsidR="00F35523" w:rsidRDefault="00F35523" w:rsidP="00F35523">
      <w:pPr>
        <w:pStyle w:val="Notedebasdepage"/>
      </w:pPr>
      <w:r>
        <w:rPr>
          <w:rStyle w:val="Appelnotedebasdep"/>
        </w:rPr>
        <w:footnoteRef/>
      </w:r>
      <w:r>
        <w:tab/>
        <w:t>G. Boismenu, « La spécialisation des clientèles : panacée ou nouvelle ut</w:t>
      </w:r>
      <w:r>
        <w:t>o</w:t>
      </w:r>
      <w:r>
        <w:t>pie ? », article cité.</w:t>
      </w:r>
    </w:p>
  </w:footnote>
  <w:footnote w:id="51">
    <w:p w:rsidR="00F35523" w:rsidRDefault="00F35523" w:rsidP="00F35523">
      <w:pPr>
        <w:pStyle w:val="Notedebasdepage"/>
      </w:pPr>
      <w:r>
        <w:rPr>
          <w:rStyle w:val="Appelnotedebasdep"/>
        </w:rPr>
        <w:footnoteRef/>
      </w:r>
      <w:r>
        <w:tab/>
        <w:t xml:space="preserve">B. Coriat, </w:t>
      </w:r>
      <w:r>
        <w:rPr>
          <w:i/>
        </w:rPr>
        <w:t xml:space="preserve">L'atelier du robot, </w:t>
      </w:r>
      <w:r>
        <w:t xml:space="preserve">Paris, Christian Bourgeois éditeur, 1990, p. 269-274 ; A. Noël, « Les politiques sociales et la polarisation des revenus », </w:t>
      </w:r>
      <w:r>
        <w:rPr>
          <w:i/>
        </w:rPr>
        <w:t>No</w:t>
      </w:r>
      <w:r>
        <w:rPr>
          <w:i/>
        </w:rPr>
        <w:t>u</w:t>
      </w:r>
      <w:r>
        <w:rPr>
          <w:i/>
        </w:rPr>
        <w:t>velles pratiques s</w:t>
      </w:r>
      <w:r>
        <w:rPr>
          <w:i/>
        </w:rPr>
        <w:t>o</w:t>
      </w:r>
      <w:r>
        <w:rPr>
          <w:i/>
        </w:rPr>
        <w:t xml:space="preserve">ciales, </w:t>
      </w:r>
      <w:r>
        <w:t>vol. 7, no 1, printemps 1994, p. 215-227.</w:t>
      </w:r>
    </w:p>
  </w:footnote>
  <w:footnote w:id="52">
    <w:p w:rsidR="00F35523" w:rsidRDefault="00F35523" w:rsidP="00F35523">
      <w:pPr>
        <w:pStyle w:val="Notedebasdepage"/>
      </w:pPr>
      <w:r>
        <w:rPr>
          <w:rStyle w:val="Appelnotedebasdep"/>
        </w:rPr>
        <w:footnoteRef/>
      </w:r>
      <w:r>
        <w:tab/>
        <w:t>R. Boyer, The Capital Labor Relations in OECD Countries : From the Fo</w:t>
      </w:r>
      <w:r>
        <w:t>r</w:t>
      </w:r>
      <w:r>
        <w:t>dist "Golden Age" to Contrasted National Trajectories, Paris, Cahiers Ora</w:t>
      </w:r>
      <w:r>
        <w:t>n</w:t>
      </w:r>
      <w:r>
        <w:t>ges, CEPREMAP, no 9020, p. 20-23 ; R. Boyer, The Economics of Job Pr</w:t>
      </w:r>
      <w:r>
        <w:t>o</w:t>
      </w:r>
      <w:r>
        <w:t>tection and Emerging Capital L</w:t>
      </w:r>
      <w:r>
        <w:t>a</w:t>
      </w:r>
      <w:r>
        <w:t>bour Relations : From the Perspective of "Regulation Theory", Paris, Cahiers Oranges, CEPREMAP, no 9015, p. 26-40.</w:t>
      </w:r>
    </w:p>
  </w:footnote>
  <w:footnote w:id="53">
    <w:p w:rsidR="00F35523" w:rsidRDefault="00F35523" w:rsidP="00F35523">
      <w:pPr>
        <w:pStyle w:val="Notedebasdepage"/>
      </w:pPr>
      <w:r>
        <w:rPr>
          <w:rStyle w:val="Appelnotedebasdep"/>
        </w:rPr>
        <w:footnoteRef/>
      </w:r>
      <w:r>
        <w:tab/>
        <w:t>P. Chamberlayne, art. cité ; J. D. Stephens, E. Huber et L. Ray, « The We</w:t>
      </w:r>
      <w:r>
        <w:t>l</w:t>
      </w:r>
      <w:r>
        <w:t>fare State in hard times », communication présentée au congrès annuel de l'Amer</w:t>
      </w:r>
      <w:r>
        <w:t>i</w:t>
      </w:r>
      <w:r>
        <w:t>can Political Science Association, septembre 1994, 20 p.</w:t>
      </w:r>
    </w:p>
  </w:footnote>
  <w:footnote w:id="54">
    <w:p w:rsidR="00F35523" w:rsidRDefault="00F35523" w:rsidP="00F35523">
      <w:pPr>
        <w:pStyle w:val="Notedebasdepage"/>
      </w:pPr>
      <w:r>
        <w:rPr>
          <w:rStyle w:val="Appelnotedebasdep"/>
        </w:rPr>
        <w:footnoteRef/>
      </w:r>
      <w:r>
        <w:tab/>
        <w:t>A. Cochrane et K. Doogan, « Welfare policy : The dynamics of european i</w:t>
      </w:r>
      <w:r>
        <w:t>n</w:t>
      </w:r>
      <w:r>
        <w:t xml:space="preserve">tegration », </w:t>
      </w:r>
      <w:r>
        <w:rPr>
          <w:i/>
        </w:rPr>
        <w:t xml:space="preserve">Policy and Politics, </w:t>
      </w:r>
      <w:r>
        <w:t>vol. 21, no 2, 1993, p. 85-95.</w:t>
      </w:r>
    </w:p>
  </w:footnote>
  <w:footnote w:id="55">
    <w:p w:rsidR="00F35523" w:rsidRDefault="00F35523" w:rsidP="00F35523">
      <w:pPr>
        <w:pStyle w:val="Notedebasdepage"/>
      </w:pPr>
      <w:r>
        <w:rPr>
          <w:rStyle w:val="Appelnotedebasdep"/>
        </w:rPr>
        <w:footnoteRef/>
      </w:r>
      <w:r>
        <w:tab/>
        <w:t>Ibid.</w:t>
      </w:r>
    </w:p>
  </w:footnote>
  <w:footnote w:id="56">
    <w:p w:rsidR="00F35523" w:rsidRDefault="00F35523" w:rsidP="00F35523">
      <w:pPr>
        <w:pStyle w:val="Notedebasdepage"/>
      </w:pPr>
      <w:r>
        <w:rPr>
          <w:rStyle w:val="Appelnotedebasdep"/>
        </w:rPr>
        <w:footnoteRef/>
      </w:r>
      <w:r>
        <w:tab/>
        <w:t xml:space="preserve">« Les "Dragons" asiatiques partent à l'assaut du marché britannique », Le </w:t>
      </w:r>
      <w:r>
        <w:rPr>
          <w:i/>
        </w:rPr>
        <w:t xml:space="preserve">Monde, </w:t>
      </w:r>
      <w:r>
        <w:t>ler février 1995, p. 17.</w:t>
      </w:r>
    </w:p>
  </w:footnote>
  <w:footnote w:id="57">
    <w:p w:rsidR="00F35523" w:rsidRDefault="00F35523" w:rsidP="00F35523">
      <w:pPr>
        <w:pStyle w:val="Notedebasdepage"/>
      </w:pPr>
      <w:r>
        <w:rPr>
          <w:rStyle w:val="Appelnotedebasdep"/>
        </w:rPr>
        <w:footnoteRef/>
      </w:r>
      <w:r>
        <w:tab/>
        <w:t>A. Pfaller, I. Gough et G. Therborn, ouvrage cité, p. 284.</w:t>
      </w:r>
    </w:p>
  </w:footnote>
  <w:footnote w:id="58">
    <w:p w:rsidR="00F35523" w:rsidRDefault="00F35523" w:rsidP="00F35523">
      <w:pPr>
        <w:pStyle w:val="Notedebasdepage"/>
      </w:pPr>
      <w:r>
        <w:rPr>
          <w:rStyle w:val="Appelnotedebasdep"/>
        </w:rPr>
        <w:footnoteRef/>
      </w:r>
      <w:r>
        <w:tab/>
        <w:t>K. Doogan, article cité.</w:t>
      </w:r>
    </w:p>
  </w:footnote>
  <w:footnote w:id="59">
    <w:p w:rsidR="00F35523" w:rsidRDefault="00F35523" w:rsidP="00F35523">
      <w:pPr>
        <w:pStyle w:val="Notedebasdepage"/>
      </w:pPr>
      <w:r>
        <w:rPr>
          <w:rStyle w:val="Appelnotedebasdep"/>
        </w:rPr>
        <w:footnoteRef/>
      </w:r>
      <w:r>
        <w:tab/>
        <w:t>J. Bennington et M. Taylor, « Changes and challenges facing the UK Welf</w:t>
      </w:r>
      <w:r>
        <w:t>a</w:t>
      </w:r>
      <w:r>
        <w:t xml:space="preserve">re State in the Europe of the 1990s », </w:t>
      </w:r>
      <w:r>
        <w:rPr>
          <w:i/>
        </w:rPr>
        <w:t xml:space="preserve">Policy and Politics, </w:t>
      </w:r>
      <w:r>
        <w:t>vol. 21, no 2, 1993, p. 129.</w:t>
      </w:r>
    </w:p>
  </w:footnote>
  <w:footnote w:id="60">
    <w:p w:rsidR="00F35523" w:rsidRDefault="00F35523" w:rsidP="00F35523">
      <w:pPr>
        <w:pStyle w:val="Notedebasdepage"/>
      </w:pPr>
      <w:r>
        <w:rPr>
          <w:rStyle w:val="Appelnotedebasdep"/>
        </w:rPr>
        <w:footnoteRef/>
      </w:r>
      <w:r>
        <w:tab/>
        <w:t>Ibid.</w:t>
      </w:r>
    </w:p>
  </w:footnote>
  <w:footnote w:id="61">
    <w:p w:rsidR="00F35523" w:rsidRDefault="00F35523" w:rsidP="00F35523">
      <w:pPr>
        <w:pStyle w:val="Notedebasdepage"/>
      </w:pPr>
      <w:r>
        <w:rPr>
          <w:rStyle w:val="Appelnotedebasdep"/>
        </w:rPr>
        <w:footnoteRef/>
      </w:r>
      <w:r>
        <w:tab/>
        <w:t>K. Doogan, article cité ; A. Cochrane et K. Doogan, article cité.</w:t>
      </w:r>
    </w:p>
  </w:footnote>
  <w:footnote w:id="62">
    <w:p w:rsidR="00F35523" w:rsidRDefault="00F35523" w:rsidP="00F35523">
      <w:pPr>
        <w:pStyle w:val="Notedebasdepage"/>
      </w:pPr>
      <w:r>
        <w:rPr>
          <w:rStyle w:val="Appelnotedebasdep"/>
        </w:rPr>
        <w:footnoteRef/>
      </w:r>
      <w:r>
        <w:tab/>
        <w:t>P. Teague et J. Grahl, « The european community social charter and labour market r</w:t>
      </w:r>
      <w:r>
        <w:t>e</w:t>
      </w:r>
      <w:r>
        <w:t xml:space="preserve">gulation », </w:t>
      </w:r>
      <w:r>
        <w:rPr>
          <w:i/>
        </w:rPr>
        <w:t xml:space="preserve">Journal of Public Policy, </w:t>
      </w:r>
      <w:r>
        <w:t>vol. II, no 2, 1991, p. 207-232.</w:t>
      </w:r>
    </w:p>
  </w:footnote>
  <w:footnote w:id="63">
    <w:p w:rsidR="00F35523" w:rsidRDefault="00F35523" w:rsidP="00F35523">
      <w:pPr>
        <w:pStyle w:val="Notedebasdepage"/>
      </w:pPr>
      <w:r>
        <w:rPr>
          <w:rStyle w:val="Appelnotedebasdep"/>
        </w:rPr>
        <w:footnoteRef/>
      </w:r>
      <w:r>
        <w:tab/>
        <w:t xml:space="preserve">K. Armingeon, « Towards a european system of labor relations ? », </w:t>
      </w:r>
      <w:r>
        <w:rPr>
          <w:i/>
        </w:rPr>
        <w:t xml:space="preserve">Journal of Public Policy, </w:t>
      </w:r>
      <w:r>
        <w:t>vol. 11, no 4, 1991, p. 399-413.</w:t>
      </w:r>
    </w:p>
  </w:footnote>
  <w:footnote w:id="64">
    <w:p w:rsidR="00F35523" w:rsidRDefault="00F35523" w:rsidP="00F35523">
      <w:pPr>
        <w:pStyle w:val="Notedebasdepage"/>
      </w:pPr>
      <w:r>
        <w:rPr>
          <w:rStyle w:val="Appelnotedebasdep"/>
        </w:rPr>
        <w:footnoteRef/>
      </w:r>
      <w:r>
        <w:tab/>
        <w:t>W. Streeck, « National diversity, regime competition and institutional de</w:t>
      </w:r>
      <w:r>
        <w:t>a</w:t>
      </w:r>
      <w:r>
        <w:t>dlock : Pr</w:t>
      </w:r>
      <w:r>
        <w:t>o</w:t>
      </w:r>
      <w:r>
        <w:t xml:space="preserve">blems in forming european industrial relations system », </w:t>
      </w:r>
      <w:r>
        <w:rPr>
          <w:i/>
        </w:rPr>
        <w:t xml:space="preserve">Journal of Public Policy, </w:t>
      </w:r>
      <w:r>
        <w:t>vol. 12, no 4, 1992, p. 320.</w:t>
      </w:r>
    </w:p>
  </w:footnote>
  <w:footnote w:id="65">
    <w:p w:rsidR="00F35523" w:rsidRDefault="00F35523" w:rsidP="00F35523">
      <w:pPr>
        <w:pStyle w:val="Notedebasdepage"/>
      </w:pPr>
      <w:r>
        <w:rPr>
          <w:rStyle w:val="Appelnotedebasdep"/>
        </w:rPr>
        <w:footnoteRef/>
      </w:r>
      <w:r>
        <w:tab/>
        <w:t>P. Teague et J. Grahl, article cité.</w:t>
      </w:r>
    </w:p>
  </w:footnote>
  <w:footnote w:id="66">
    <w:p w:rsidR="00F35523" w:rsidRDefault="00F35523" w:rsidP="00F35523">
      <w:pPr>
        <w:pStyle w:val="Notedebasdepage"/>
      </w:pPr>
      <w:r>
        <w:rPr>
          <w:rStyle w:val="Appelnotedebasdep"/>
        </w:rPr>
        <w:footnoteRef/>
      </w:r>
      <w:r>
        <w:tab/>
        <w:t>W. Streeck, article cité.</w:t>
      </w:r>
    </w:p>
  </w:footnote>
  <w:footnote w:id="67">
    <w:p w:rsidR="00F35523" w:rsidRDefault="00F35523" w:rsidP="00F35523">
      <w:pPr>
        <w:pStyle w:val="Notedebasdepage"/>
      </w:pPr>
      <w:r>
        <w:rPr>
          <w:rStyle w:val="Appelnotedebasdep"/>
        </w:rPr>
        <w:footnoteRef/>
      </w:r>
      <w:r>
        <w:tab/>
        <w:t>K. Doogan, article cité ; A. Cochrane et K. Doogan, article cité.</w:t>
      </w:r>
    </w:p>
  </w:footnote>
  <w:footnote w:id="68">
    <w:p w:rsidR="00F35523" w:rsidRDefault="00F35523" w:rsidP="00F35523">
      <w:pPr>
        <w:pStyle w:val="Notedebasdepage"/>
      </w:pPr>
      <w:r>
        <w:rPr>
          <w:rStyle w:val="Appelnotedebasdep"/>
        </w:rPr>
        <w:footnoteRef/>
      </w:r>
      <w:r>
        <w:tab/>
        <w:t>J. Bennington et M. Taylor, article cité.</w:t>
      </w:r>
    </w:p>
  </w:footnote>
  <w:footnote w:id="69">
    <w:p w:rsidR="00F35523" w:rsidRDefault="00F35523" w:rsidP="00F35523">
      <w:pPr>
        <w:pStyle w:val="Notedebasdepage"/>
      </w:pPr>
      <w:r>
        <w:rPr>
          <w:rStyle w:val="Appelnotedebasdep"/>
        </w:rPr>
        <w:footnoteRef/>
      </w:r>
      <w:r>
        <w:tab/>
        <w:t>J. Feick, « Comparing comparative policy studies — A path towards integr</w:t>
      </w:r>
      <w:r>
        <w:t>a</w:t>
      </w:r>
      <w:r>
        <w:t xml:space="preserve">tion ? », </w:t>
      </w:r>
      <w:r>
        <w:rPr>
          <w:i/>
        </w:rPr>
        <w:t xml:space="preserve">Journal of Public Policy, </w:t>
      </w:r>
      <w:r w:rsidRPr="00B3106F">
        <w:t>vol.</w:t>
      </w:r>
      <w:r>
        <w:t> </w:t>
      </w:r>
      <w:r w:rsidRPr="00B3106F">
        <w:t>12,</w:t>
      </w:r>
      <w:r>
        <w:rPr>
          <w:i/>
        </w:rPr>
        <w:t xml:space="preserve"> </w:t>
      </w:r>
      <w:r>
        <w:t>no 3, 1992, p. 257-285.</w:t>
      </w:r>
    </w:p>
  </w:footnote>
  <w:footnote w:id="70">
    <w:p w:rsidR="00F35523" w:rsidRDefault="00F35523" w:rsidP="00F35523">
      <w:pPr>
        <w:pStyle w:val="Notedebasdepage"/>
      </w:pPr>
      <w:r>
        <w:rPr>
          <w:rStyle w:val="Appelnotedebasdep"/>
        </w:rPr>
        <w:footnoteRef/>
      </w:r>
      <w:r>
        <w:tab/>
        <w:t>OCDE, Le marché du travail : quelles politiques pour les années 90 ?, P</w:t>
      </w:r>
      <w:r>
        <w:t>a</w:t>
      </w:r>
      <w:r>
        <w:t>ris, 1990, p. 98.</w:t>
      </w:r>
    </w:p>
  </w:footnote>
  <w:footnote w:id="71">
    <w:p w:rsidR="00F35523" w:rsidRDefault="00F35523" w:rsidP="00F35523">
      <w:pPr>
        <w:pStyle w:val="Notedebasdepage"/>
      </w:pPr>
      <w:r>
        <w:rPr>
          <w:rStyle w:val="Appelnotedebasdep"/>
        </w:rPr>
        <w:footnoteRef/>
      </w:r>
      <w:r>
        <w:tab/>
        <w:t>T. Janoski, « Direct State intervention in the labor market : The explanation of active labor market policy from 1950 to 1988 in social democratic, conserv</w:t>
      </w:r>
      <w:r>
        <w:t>a</w:t>
      </w:r>
      <w:r>
        <w:t xml:space="preserve">tive, and liberal regimes », dans T. Janoski et A. M. Hicks (dir.), </w:t>
      </w:r>
      <w:r>
        <w:rPr>
          <w:i/>
        </w:rPr>
        <w:t>The Comp</w:t>
      </w:r>
      <w:r>
        <w:rPr>
          <w:i/>
        </w:rPr>
        <w:t>a</w:t>
      </w:r>
      <w:r>
        <w:rPr>
          <w:i/>
        </w:rPr>
        <w:t xml:space="preserve">rative Political Economy of the Welfare State, </w:t>
      </w:r>
      <w:r>
        <w:t>Cambridge, Cambridge Unive</w:t>
      </w:r>
      <w:r>
        <w:t>r</w:t>
      </w:r>
      <w:r>
        <w:t>sity Press, 1994, p. 54-92.</w:t>
      </w:r>
    </w:p>
  </w:footnote>
  <w:footnote w:id="72">
    <w:p w:rsidR="00F35523" w:rsidRDefault="00F35523" w:rsidP="00F35523">
      <w:pPr>
        <w:pStyle w:val="Notedebasdepage"/>
      </w:pPr>
      <w:r>
        <w:rPr>
          <w:rStyle w:val="Appelnotedebasdep"/>
        </w:rPr>
        <w:footnoteRef/>
      </w:r>
      <w:r>
        <w:tab/>
        <w:t xml:space="preserve">Ces différentes argumentations et la question du </w:t>
      </w:r>
      <w:r>
        <w:rPr>
          <w:i/>
        </w:rPr>
        <w:t xml:space="preserve">workfare </w:t>
      </w:r>
      <w:r>
        <w:t>en général sont ét</w:t>
      </w:r>
      <w:r>
        <w:t>u</w:t>
      </w:r>
      <w:r>
        <w:t xml:space="preserve">diées plus à fond dans A. Noël, « The politics of workfare », dans P. Evans, L. Jacobs, A. Noël et E. Reynolds (dir.), </w:t>
      </w:r>
      <w:r>
        <w:rPr>
          <w:i/>
        </w:rPr>
        <w:t xml:space="preserve">Workfare : Does it Work ? Is it Fair ?, </w:t>
      </w:r>
      <w:r>
        <w:t>Montréal, Institut de reche</w:t>
      </w:r>
      <w:r>
        <w:t>r</w:t>
      </w:r>
      <w:r>
        <w:t>che en politiques publiques, 1995.</w:t>
      </w:r>
    </w:p>
  </w:footnote>
  <w:footnote w:id="73">
    <w:p w:rsidR="00F35523" w:rsidRDefault="00F35523" w:rsidP="00F35523">
      <w:pPr>
        <w:pStyle w:val="Notedebasdepage"/>
      </w:pPr>
      <w:r>
        <w:rPr>
          <w:rStyle w:val="Appelnotedebasdep"/>
        </w:rPr>
        <w:footnoteRef/>
      </w:r>
      <w:r>
        <w:tab/>
        <w:t>T. Janoski, The Political Economy of Unemployment : Active Labor Market Policy in West Germany and the United States, Berkeley, University of Cal</w:t>
      </w:r>
      <w:r>
        <w:t>i</w:t>
      </w:r>
      <w:r>
        <w:t>fornia Press, 1990, p. 82 et 183.</w:t>
      </w:r>
    </w:p>
  </w:footnote>
  <w:footnote w:id="74">
    <w:p w:rsidR="00F35523" w:rsidRDefault="00F35523" w:rsidP="00F35523">
      <w:pPr>
        <w:pStyle w:val="Notedebasdepage"/>
      </w:pPr>
      <w:r>
        <w:rPr>
          <w:rStyle w:val="Appelnotedebasdep"/>
        </w:rPr>
        <w:footnoteRef/>
      </w:r>
      <w:r>
        <w:tab/>
        <w:t xml:space="preserve">S. Paugam, </w:t>
      </w:r>
      <w:r>
        <w:rPr>
          <w:i/>
        </w:rPr>
        <w:t xml:space="preserve">La société française et ses pauvres, </w:t>
      </w:r>
      <w:r>
        <w:t>Paris, PUF, 1993, p. 23.</w:t>
      </w:r>
    </w:p>
  </w:footnote>
  <w:footnote w:id="75">
    <w:p w:rsidR="00F35523" w:rsidRDefault="00F35523" w:rsidP="00F35523">
      <w:pPr>
        <w:pStyle w:val="Notedebasdepage"/>
      </w:pPr>
      <w:r>
        <w:rPr>
          <w:rStyle w:val="Appelnotedebasdep"/>
        </w:rPr>
        <w:footnoteRef/>
      </w:r>
      <w:r>
        <w:tab/>
        <w:t>Voir, par exemple, T. Janoski, ouvrage cité, p 182-190.</w:t>
      </w:r>
    </w:p>
  </w:footnote>
  <w:footnote w:id="76">
    <w:p w:rsidR="00F35523" w:rsidRDefault="00F35523" w:rsidP="00F35523">
      <w:pPr>
        <w:pStyle w:val="Notedebasdepage"/>
      </w:pPr>
      <w:r>
        <w:rPr>
          <w:rStyle w:val="Appelnotedebasdep"/>
        </w:rPr>
        <w:footnoteRef/>
      </w:r>
      <w:r>
        <w:tab/>
        <w:t xml:space="preserve">T. Janoski, art. cité, p. 66-67 ; G. Schmid, B. Reissert et G. Bruche, </w:t>
      </w:r>
      <w:r>
        <w:rPr>
          <w:i/>
        </w:rPr>
        <w:t>Une</w:t>
      </w:r>
      <w:r>
        <w:rPr>
          <w:i/>
        </w:rPr>
        <w:t>m</w:t>
      </w:r>
      <w:r>
        <w:rPr>
          <w:i/>
        </w:rPr>
        <w:t>ployment Insurance and Active Labor Market Policy : An International Co</w:t>
      </w:r>
      <w:r>
        <w:rPr>
          <w:i/>
        </w:rPr>
        <w:t>m</w:t>
      </w:r>
      <w:r>
        <w:rPr>
          <w:i/>
        </w:rPr>
        <w:t xml:space="preserve">parison of Financing Systems, </w:t>
      </w:r>
      <w:r>
        <w:t>Detroit, Wayne State University Press, 1992, p. 269-270.</w:t>
      </w:r>
    </w:p>
  </w:footnote>
  <w:footnote w:id="77">
    <w:p w:rsidR="00F35523" w:rsidRDefault="00F35523" w:rsidP="00F35523">
      <w:pPr>
        <w:pStyle w:val="Notedebasdepage"/>
      </w:pPr>
      <w:r>
        <w:rPr>
          <w:rStyle w:val="Appelnotedebasdep"/>
        </w:rPr>
        <w:footnoteRef/>
      </w:r>
      <w:r>
        <w:tab/>
        <w:t xml:space="preserve">B. Rothstein, « Social justice and State capacity », </w:t>
      </w:r>
      <w:r>
        <w:rPr>
          <w:i/>
        </w:rPr>
        <w:t xml:space="preserve">Politics and Society, </w:t>
      </w:r>
      <w:r>
        <w:t>vol. 20 no 1, 1992, p.111.</w:t>
      </w:r>
    </w:p>
  </w:footnote>
  <w:footnote w:id="78">
    <w:p w:rsidR="00F35523" w:rsidRDefault="00F35523" w:rsidP="00F35523">
      <w:pPr>
        <w:pStyle w:val="Notedebasdepage"/>
      </w:pPr>
      <w:r>
        <w:rPr>
          <w:rStyle w:val="Appelnotedebasdep"/>
        </w:rPr>
        <w:footnoteRef/>
      </w:r>
      <w:r>
        <w:tab/>
        <w:t xml:space="preserve">Cette représentation triangulaire s'inspire du travail de Peter Swenson sur les relations industrielles. P. Swenson, </w:t>
      </w:r>
      <w:r>
        <w:rPr>
          <w:i/>
        </w:rPr>
        <w:t xml:space="preserve">Fair Shares : Unions, Pay, and Politics in Sweden and West Germany, </w:t>
      </w:r>
      <w:r>
        <w:t>Ithaca, Cornell University Press, 1989.</w:t>
      </w:r>
    </w:p>
  </w:footnote>
  <w:footnote w:id="79">
    <w:p w:rsidR="00F35523" w:rsidRDefault="00F35523" w:rsidP="00F35523">
      <w:pPr>
        <w:pStyle w:val="Notedebasdepage"/>
      </w:pPr>
      <w:r>
        <w:rPr>
          <w:rStyle w:val="Appelnotedebasdep"/>
        </w:rPr>
        <w:footnoteRef/>
      </w:r>
      <w:r>
        <w:tab/>
        <w:t xml:space="preserve">B. Jordan et M. Redley, « Polarisation, underclass and the Welfare State », Work, </w:t>
      </w:r>
      <w:r>
        <w:rPr>
          <w:i/>
        </w:rPr>
        <w:t>E</w:t>
      </w:r>
      <w:r>
        <w:rPr>
          <w:i/>
        </w:rPr>
        <w:t>m</w:t>
      </w:r>
      <w:r>
        <w:rPr>
          <w:i/>
        </w:rPr>
        <w:t xml:space="preserve">ployment and Society, </w:t>
      </w:r>
      <w:r w:rsidRPr="00EE78C8">
        <w:t>vol.</w:t>
      </w:r>
      <w:r>
        <w:t> </w:t>
      </w:r>
      <w:r w:rsidRPr="00EE78C8">
        <w:t>8</w:t>
      </w:r>
      <w:r>
        <w:rPr>
          <w:i/>
        </w:rPr>
        <w:t xml:space="preserve">, </w:t>
      </w:r>
      <w:r>
        <w:t>no 2, juin 1994, p. 172 ; M. Weir, A. S. Orloff et T. Skocpol, « The future of social policy in the United States : P</w:t>
      </w:r>
      <w:r>
        <w:t>o</w:t>
      </w:r>
      <w:r>
        <w:t>litical constraints and possib</w:t>
      </w:r>
      <w:r>
        <w:t>i</w:t>
      </w:r>
      <w:r>
        <w:t xml:space="preserve">lities », dans M. Weir, A. S. Orloff et T. Skocpol (dir.), </w:t>
      </w:r>
      <w:r>
        <w:rPr>
          <w:i/>
        </w:rPr>
        <w:t xml:space="preserve">The Politics of Social Policy in the United States, </w:t>
      </w:r>
      <w:r>
        <w:t>Princeton, Princeton University Press, 1988, p. 438-439 ; A. Armit</w:t>
      </w:r>
      <w:r>
        <w:t>a</w:t>
      </w:r>
      <w:r>
        <w:t>ge, « Work and welfare : A conceptual review of the relationship between work and welf</w:t>
      </w:r>
      <w:r>
        <w:t>a</w:t>
      </w:r>
      <w:r>
        <w:t xml:space="preserve">re », dans Bill Kirwin (dir.), </w:t>
      </w:r>
      <w:r>
        <w:rPr>
          <w:i/>
        </w:rPr>
        <w:t>Ideology, Development and Social Welfare : Canadian Perspe</w:t>
      </w:r>
      <w:r>
        <w:rPr>
          <w:i/>
        </w:rPr>
        <w:t>c</w:t>
      </w:r>
      <w:r>
        <w:rPr>
          <w:i/>
        </w:rPr>
        <w:t xml:space="preserve">tives, </w:t>
      </w:r>
      <w:r>
        <w:t>2e éd., Toronto, Canadian Scholars' Press, 1991, p. 33-63.</w:t>
      </w:r>
    </w:p>
  </w:footnote>
  <w:footnote w:id="80">
    <w:p w:rsidR="00F35523" w:rsidRDefault="00F35523" w:rsidP="00F35523">
      <w:pPr>
        <w:pStyle w:val="Notedebasdepage"/>
      </w:pPr>
      <w:r>
        <w:rPr>
          <w:rStyle w:val="Appelnotedebasdep"/>
        </w:rPr>
        <w:footnoteRef/>
      </w:r>
      <w:r>
        <w:tab/>
        <w:t xml:space="preserve">J. M. Gueron, « The route to welfare reform : From welfare to work », </w:t>
      </w:r>
      <w:r>
        <w:rPr>
          <w:i/>
        </w:rPr>
        <w:t xml:space="preserve">The Brookings Review, </w:t>
      </w:r>
      <w:r>
        <w:t>vol. 12, no 3, 1994, p. 17.</w:t>
      </w:r>
    </w:p>
  </w:footnote>
  <w:footnote w:id="81">
    <w:p w:rsidR="00F35523" w:rsidRDefault="00F35523" w:rsidP="00F35523">
      <w:pPr>
        <w:pStyle w:val="Notedebasdepage"/>
      </w:pPr>
      <w:r>
        <w:rPr>
          <w:rStyle w:val="Appelnotedebasdep"/>
        </w:rPr>
        <w:footnoteRef/>
      </w:r>
      <w:r>
        <w:tab/>
        <w:t xml:space="preserve">R. Mahon, « From fordism to ? : New technology, labour markets and unions », </w:t>
      </w:r>
      <w:r>
        <w:rPr>
          <w:i/>
        </w:rPr>
        <w:t>Ec</w:t>
      </w:r>
      <w:r>
        <w:rPr>
          <w:i/>
        </w:rPr>
        <w:t>o</w:t>
      </w:r>
      <w:r>
        <w:rPr>
          <w:i/>
        </w:rPr>
        <w:t xml:space="preserve">nomic and Industrial Democracy, </w:t>
      </w:r>
      <w:r>
        <w:t>vol. 8, no 1, février 1987, p. 38.</w:t>
      </w:r>
    </w:p>
  </w:footnote>
  <w:footnote w:id="82">
    <w:p w:rsidR="00F35523" w:rsidRDefault="00F35523" w:rsidP="00F35523">
      <w:pPr>
        <w:pStyle w:val="Notedebasdepage"/>
      </w:pPr>
      <w:r>
        <w:rPr>
          <w:rStyle w:val="Appelnotedebasdep"/>
        </w:rPr>
        <w:footnoteRef/>
      </w:r>
      <w:r>
        <w:tab/>
      </w:r>
      <w:r>
        <w:rPr>
          <w:i/>
        </w:rPr>
        <w:t xml:space="preserve">Ibid., p. </w:t>
      </w:r>
      <w:r>
        <w:t>42 ; G. Esping-Andersen, ouvrage cité, p. 222-228.</w:t>
      </w:r>
    </w:p>
  </w:footnote>
  <w:footnote w:id="83">
    <w:p w:rsidR="00F35523" w:rsidRDefault="00F35523" w:rsidP="00F35523">
      <w:pPr>
        <w:pStyle w:val="Notedebasdepage"/>
      </w:pPr>
      <w:r>
        <w:rPr>
          <w:rStyle w:val="Appelnotedebasdep"/>
        </w:rPr>
        <w:footnoteRef/>
      </w:r>
      <w:r>
        <w:tab/>
        <w:t>D. Sainsbury, « Dual welfare and sex segregation of access to social ben</w:t>
      </w:r>
      <w:r>
        <w:t>e</w:t>
      </w:r>
      <w:r>
        <w:t>fits : Income maintenance policies in the UK, the US, the Netherlands and Sw</w:t>
      </w:r>
      <w:r>
        <w:t>e</w:t>
      </w:r>
      <w:r>
        <w:t xml:space="preserve">den », </w:t>
      </w:r>
      <w:r>
        <w:rPr>
          <w:i/>
        </w:rPr>
        <w:t>Journal of S</w:t>
      </w:r>
      <w:r>
        <w:rPr>
          <w:i/>
        </w:rPr>
        <w:t>o</w:t>
      </w:r>
      <w:r>
        <w:rPr>
          <w:i/>
        </w:rPr>
        <w:t xml:space="preserve">cial Policy, </w:t>
      </w:r>
      <w:r>
        <w:t>vol. 22, no 1, janvier 1993, p. 69-98.</w:t>
      </w:r>
    </w:p>
  </w:footnote>
  <w:footnote w:id="84">
    <w:p w:rsidR="00F35523" w:rsidRDefault="00F35523" w:rsidP="00F35523">
      <w:pPr>
        <w:pStyle w:val="Notedebasdepage"/>
      </w:pPr>
      <w:r>
        <w:rPr>
          <w:rStyle w:val="Appelnotedebasdep"/>
        </w:rPr>
        <w:footnoteRef/>
      </w:r>
      <w:r>
        <w:tab/>
        <w:t xml:space="preserve">B. Rothstein, « The crisis of swedish social democrats and the future of the universal Welfare State », </w:t>
      </w:r>
      <w:r>
        <w:rPr>
          <w:i/>
        </w:rPr>
        <w:t xml:space="preserve">Governance, </w:t>
      </w:r>
      <w:r>
        <w:t xml:space="preserve">vol. 6, no 4, 1993, p. 502-505 ; A. Wolfe, </w:t>
      </w:r>
      <w:r>
        <w:rPr>
          <w:i/>
        </w:rPr>
        <w:t xml:space="preserve">Whose Keeper ? Social Science and Moral Obligation, </w:t>
      </w:r>
      <w:r>
        <w:t>Berkeley, Un</w:t>
      </w:r>
      <w:r>
        <w:t>i</w:t>
      </w:r>
      <w:r>
        <w:t>versity of California Press, 1989, p. 151-184.</w:t>
      </w:r>
    </w:p>
  </w:footnote>
  <w:footnote w:id="85">
    <w:p w:rsidR="00F35523" w:rsidRDefault="00F35523" w:rsidP="00F35523">
      <w:pPr>
        <w:pStyle w:val="Notedebasdepage"/>
      </w:pPr>
      <w:r>
        <w:rPr>
          <w:rStyle w:val="Appelnotedebasdep"/>
        </w:rPr>
        <w:footnoteRef/>
      </w:r>
      <w:r>
        <w:tab/>
        <w:t>G. Esping-Andersen, ouvrage cité, p. 222-228.</w:t>
      </w:r>
    </w:p>
  </w:footnote>
  <w:footnote w:id="86">
    <w:p w:rsidR="00F35523" w:rsidRDefault="00F35523" w:rsidP="00F35523">
      <w:pPr>
        <w:pStyle w:val="Notedebasdepage"/>
      </w:pPr>
      <w:r>
        <w:rPr>
          <w:rStyle w:val="Appelnotedebasdep"/>
        </w:rPr>
        <w:footnoteRef/>
      </w:r>
      <w:r>
        <w:tab/>
        <w:t>A. Pfaller, I. Gough et G. Therborn, ouvrage cité, p. 272 et suivantes.</w:t>
      </w:r>
    </w:p>
  </w:footnote>
  <w:footnote w:id="87">
    <w:p w:rsidR="00F35523" w:rsidRDefault="00F35523" w:rsidP="00F35523">
      <w:pPr>
        <w:pStyle w:val="Notedebasdepage"/>
      </w:pPr>
      <w:r>
        <w:rPr>
          <w:rStyle w:val="Appelnotedebasdep"/>
        </w:rPr>
        <w:footnoteRef/>
      </w:r>
      <w:r>
        <w:tab/>
        <w:t>Voir, à ce sujet, OCDE, L'étude de l'OCDE sur l'emploi : faits, analyse, strat</w:t>
      </w:r>
      <w:r>
        <w:t>é</w:t>
      </w:r>
      <w:r>
        <w:t>gies. P</w:t>
      </w:r>
      <w:r>
        <w:t>a</w:t>
      </w:r>
      <w:r>
        <w:t>ris, OCDE, 1994.</w:t>
      </w:r>
    </w:p>
  </w:footnote>
  <w:footnote w:id="88">
    <w:p w:rsidR="00F35523" w:rsidRDefault="00F35523" w:rsidP="00F35523">
      <w:pPr>
        <w:pStyle w:val="Notedebasdepage"/>
      </w:pPr>
      <w:r>
        <w:rPr>
          <w:rStyle w:val="Appelnotedebasdep"/>
        </w:rPr>
        <w:footnoteRef/>
      </w:r>
      <w:r>
        <w:tab/>
        <w:t>J. D. Stephens, E. Huber et L. Ray, article cité.</w:t>
      </w:r>
    </w:p>
  </w:footnote>
  <w:footnote w:id="89">
    <w:p w:rsidR="00F35523" w:rsidRDefault="00F35523" w:rsidP="00F35523">
      <w:pPr>
        <w:pStyle w:val="Notedebasdepage"/>
      </w:pPr>
      <w:r>
        <w:rPr>
          <w:rStyle w:val="Appelnotedebasdep"/>
        </w:rPr>
        <w:footnoteRef/>
      </w:r>
      <w:r>
        <w:tab/>
        <w:t>A. Pfaller, I. Gough et G. Therborn, ouvrage cité.</w:t>
      </w:r>
    </w:p>
  </w:footnote>
  <w:footnote w:id="90">
    <w:p w:rsidR="00F35523" w:rsidRDefault="00F35523" w:rsidP="00F35523">
      <w:pPr>
        <w:pStyle w:val="Notedebasdepage"/>
      </w:pPr>
      <w:r>
        <w:rPr>
          <w:rStyle w:val="Appelnotedebasdep"/>
        </w:rPr>
        <w:footnoteRef/>
      </w:r>
      <w:r>
        <w:tab/>
        <w:t xml:space="preserve">B. Jobert, « Le retour du politique », dans Bruno Jobert (dir.), </w:t>
      </w:r>
      <w:r>
        <w:rPr>
          <w:i/>
        </w:rPr>
        <w:t xml:space="preserve">Le tournant néo-libéral en Europe, </w:t>
      </w:r>
      <w:r>
        <w:t>Paris, L'Harmattan, 1994, p. 20.</w:t>
      </w:r>
    </w:p>
  </w:footnote>
  <w:footnote w:id="91">
    <w:p w:rsidR="00F35523" w:rsidRDefault="00F35523" w:rsidP="00F35523">
      <w:pPr>
        <w:pStyle w:val="Notedebasdepage"/>
      </w:pPr>
      <w:r>
        <w:rPr>
          <w:rStyle w:val="Appelnotedebasdep"/>
        </w:rPr>
        <w:footnoteRef/>
      </w:r>
      <w:r>
        <w:tab/>
        <w:t>Ibid., p. 9-20.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5523" w:rsidRDefault="00F35523" w:rsidP="00F35523">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r>
    <w:r w:rsidRPr="0002157B">
      <w:rPr>
        <w:rFonts w:ascii="Times New Roman" w:hAnsi="Times New Roman"/>
      </w:rPr>
      <w:t>“La restructuration de la protection sociale en Amérique du Nord et en Europe.”</w:t>
    </w:r>
    <w:r>
      <w:rPr>
        <w:rFonts w:ascii="Times New Roman" w:hAnsi="Times New Roman"/>
      </w:rPr>
      <w:t xml:space="preserve"> (1995)</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232598">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4</w:t>
    </w:r>
    <w:r>
      <w:rPr>
        <w:rStyle w:val="Numrodepage"/>
        <w:rFonts w:ascii="Times New Roman" w:hAnsi="Times New Roman"/>
      </w:rPr>
      <w:fldChar w:fldCharType="end"/>
    </w:r>
  </w:p>
  <w:p w:rsidR="00F35523" w:rsidRDefault="00F35523">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D74083E"/>
    <w:lvl w:ilvl="0">
      <w:start w:val="1"/>
      <w:numFmt w:val="bullet"/>
      <w:pStyle w:val="hl2"/>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232598"/>
    <w:rsid w:val="0044725F"/>
    <w:rsid w:val="00F35523"/>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E4A41C18-4E2A-E143-804B-79646834C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A5EF4"/>
    <w:pPr>
      <w:ind w:firstLine="360"/>
    </w:pPr>
    <w:rPr>
      <w:rFonts w:ascii="Times New Roman" w:eastAsia="Times New Roman" w:hAnsi="Times New Roman"/>
      <w:sz w:val="28"/>
      <w:lang w:eastAsia="en-US"/>
    </w:rPr>
  </w:style>
  <w:style w:type="paragraph" w:styleId="Titre1">
    <w:name w:val="heading 1"/>
    <w:next w:val="Normal"/>
    <w:link w:val="Titre1Car"/>
    <w:qFormat/>
    <w:rsid w:val="0058603D"/>
    <w:pPr>
      <w:outlineLvl w:val="0"/>
    </w:pPr>
    <w:rPr>
      <w:rFonts w:eastAsia="Times New Roman"/>
      <w:noProof/>
      <w:lang w:eastAsia="en-US"/>
    </w:rPr>
  </w:style>
  <w:style w:type="paragraph" w:styleId="Titre2">
    <w:name w:val="heading 2"/>
    <w:next w:val="Normal"/>
    <w:link w:val="Titre2Car"/>
    <w:qFormat/>
    <w:rsid w:val="0058603D"/>
    <w:pPr>
      <w:outlineLvl w:val="1"/>
    </w:pPr>
    <w:rPr>
      <w:rFonts w:eastAsia="Times New Roman"/>
      <w:noProof/>
      <w:lang w:eastAsia="en-US"/>
    </w:rPr>
  </w:style>
  <w:style w:type="paragraph" w:styleId="Titre3">
    <w:name w:val="heading 3"/>
    <w:next w:val="Normal"/>
    <w:link w:val="Titre3Car"/>
    <w:qFormat/>
    <w:rsid w:val="0058603D"/>
    <w:pPr>
      <w:outlineLvl w:val="2"/>
    </w:pPr>
    <w:rPr>
      <w:rFonts w:eastAsia="Times New Roman"/>
      <w:noProof/>
      <w:lang w:eastAsia="en-US"/>
    </w:rPr>
  </w:style>
  <w:style w:type="paragraph" w:styleId="Titre4">
    <w:name w:val="heading 4"/>
    <w:next w:val="Normal"/>
    <w:link w:val="Titre4Car"/>
    <w:qFormat/>
    <w:rsid w:val="0058603D"/>
    <w:pPr>
      <w:outlineLvl w:val="3"/>
    </w:pPr>
    <w:rPr>
      <w:rFonts w:eastAsia="Times New Roman"/>
      <w:noProof/>
      <w:lang w:eastAsia="en-US"/>
    </w:rPr>
  </w:style>
  <w:style w:type="paragraph" w:styleId="Titre5">
    <w:name w:val="heading 5"/>
    <w:next w:val="Normal"/>
    <w:link w:val="Titre5Car"/>
    <w:qFormat/>
    <w:rsid w:val="0058603D"/>
    <w:pPr>
      <w:outlineLvl w:val="4"/>
    </w:pPr>
    <w:rPr>
      <w:rFonts w:eastAsia="Times New Roman"/>
      <w:noProof/>
      <w:lang w:eastAsia="en-US"/>
    </w:rPr>
  </w:style>
  <w:style w:type="paragraph" w:styleId="Titre6">
    <w:name w:val="heading 6"/>
    <w:next w:val="Normal"/>
    <w:link w:val="Titre6Car"/>
    <w:qFormat/>
    <w:rsid w:val="0058603D"/>
    <w:pPr>
      <w:outlineLvl w:val="5"/>
    </w:pPr>
    <w:rPr>
      <w:rFonts w:eastAsia="Times New Roman"/>
      <w:noProof/>
      <w:lang w:eastAsia="en-US"/>
    </w:rPr>
  </w:style>
  <w:style w:type="paragraph" w:styleId="Titre7">
    <w:name w:val="heading 7"/>
    <w:next w:val="Normal"/>
    <w:link w:val="Titre7Car"/>
    <w:qFormat/>
    <w:rsid w:val="0058603D"/>
    <w:pPr>
      <w:outlineLvl w:val="6"/>
    </w:pPr>
    <w:rPr>
      <w:rFonts w:eastAsia="Times New Roman"/>
      <w:noProof/>
      <w:lang w:eastAsia="en-US"/>
    </w:rPr>
  </w:style>
  <w:style w:type="paragraph" w:styleId="Titre8">
    <w:name w:val="heading 8"/>
    <w:next w:val="Normal"/>
    <w:link w:val="Titre8Car"/>
    <w:qFormat/>
    <w:rsid w:val="0058603D"/>
    <w:pPr>
      <w:outlineLvl w:val="7"/>
    </w:pPr>
    <w:rPr>
      <w:rFonts w:eastAsia="Times New Roman"/>
      <w:noProof/>
      <w:lang w:eastAsia="en-US"/>
    </w:rPr>
  </w:style>
  <w:style w:type="paragraph" w:styleId="Titre9">
    <w:name w:val="heading 9"/>
    <w:next w:val="Normal"/>
    <w:link w:val="Titre9Car"/>
    <w:qFormat/>
    <w:rsid w:val="0058603D"/>
    <w:pPr>
      <w:outlineLvl w:val="8"/>
    </w:pPr>
    <w:rPr>
      <w:rFonts w:eastAsia="Times New Roman"/>
      <w:noProof/>
      <w:lang w:eastAsia="en-US"/>
    </w:rPr>
  </w:style>
  <w:style w:type="character" w:default="1" w:styleId="Policepardfaut">
    <w:name w:val="Default Paragraph Font"/>
    <w:rsid w:val="0058603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58603D"/>
  </w:style>
  <w:style w:type="character" w:customStyle="1" w:styleId="Titre1Car">
    <w:name w:val="Titre 1 Car"/>
    <w:basedOn w:val="Policepardfaut"/>
    <w:link w:val="Titre1"/>
    <w:rsid w:val="003713A1"/>
    <w:rPr>
      <w:rFonts w:eastAsia="Times New Roman"/>
      <w:noProof/>
      <w:lang w:val="fr-CA" w:eastAsia="en-US" w:bidi="ar-SA"/>
    </w:rPr>
  </w:style>
  <w:style w:type="character" w:customStyle="1" w:styleId="Titre2Car">
    <w:name w:val="Titre 2 Car"/>
    <w:basedOn w:val="Policepardfaut"/>
    <w:link w:val="Titre2"/>
    <w:rsid w:val="003713A1"/>
    <w:rPr>
      <w:rFonts w:eastAsia="Times New Roman"/>
      <w:noProof/>
      <w:lang w:val="fr-CA" w:eastAsia="en-US" w:bidi="ar-SA"/>
    </w:rPr>
  </w:style>
  <w:style w:type="character" w:customStyle="1" w:styleId="Titre3Car">
    <w:name w:val="Titre 3 Car"/>
    <w:basedOn w:val="Policepardfaut"/>
    <w:link w:val="Titre3"/>
    <w:rsid w:val="003713A1"/>
    <w:rPr>
      <w:rFonts w:eastAsia="Times New Roman"/>
      <w:noProof/>
      <w:lang w:val="fr-CA" w:eastAsia="en-US" w:bidi="ar-SA"/>
    </w:rPr>
  </w:style>
  <w:style w:type="character" w:customStyle="1" w:styleId="Titre4Car">
    <w:name w:val="Titre 4 Car"/>
    <w:basedOn w:val="Policepardfaut"/>
    <w:link w:val="Titre4"/>
    <w:rsid w:val="00092A24"/>
    <w:rPr>
      <w:rFonts w:eastAsia="Times New Roman"/>
      <w:noProof/>
      <w:lang w:val="fr-CA" w:eastAsia="en-US" w:bidi="ar-SA"/>
    </w:rPr>
  </w:style>
  <w:style w:type="character" w:customStyle="1" w:styleId="Titre5Car">
    <w:name w:val="Titre 5 Car"/>
    <w:basedOn w:val="Policepardfaut"/>
    <w:link w:val="Titre5"/>
    <w:rsid w:val="003713A1"/>
    <w:rPr>
      <w:rFonts w:eastAsia="Times New Roman"/>
      <w:noProof/>
      <w:lang w:val="fr-CA" w:eastAsia="en-US" w:bidi="ar-SA"/>
    </w:rPr>
  </w:style>
  <w:style w:type="character" w:customStyle="1" w:styleId="Titre6Car">
    <w:name w:val="Titre 6 Car"/>
    <w:basedOn w:val="Policepardfaut"/>
    <w:link w:val="Titre6"/>
    <w:rsid w:val="00092A24"/>
    <w:rPr>
      <w:rFonts w:eastAsia="Times New Roman"/>
      <w:noProof/>
      <w:lang w:val="fr-CA" w:eastAsia="en-US" w:bidi="ar-SA"/>
    </w:rPr>
  </w:style>
  <w:style w:type="character" w:customStyle="1" w:styleId="Titre7Car">
    <w:name w:val="Titre 7 Car"/>
    <w:basedOn w:val="Policepardfaut"/>
    <w:link w:val="Titre7"/>
    <w:rsid w:val="00092A24"/>
    <w:rPr>
      <w:rFonts w:eastAsia="Times New Roman"/>
      <w:noProof/>
      <w:lang w:val="fr-CA" w:eastAsia="en-US" w:bidi="ar-SA"/>
    </w:rPr>
  </w:style>
  <w:style w:type="character" w:customStyle="1" w:styleId="Titre8Car">
    <w:name w:val="Titre 8 Car"/>
    <w:basedOn w:val="Policepardfaut"/>
    <w:link w:val="Titre8"/>
    <w:rsid w:val="00092A24"/>
    <w:rPr>
      <w:rFonts w:eastAsia="Times New Roman"/>
      <w:noProof/>
      <w:lang w:val="fr-CA" w:eastAsia="en-US" w:bidi="ar-SA"/>
    </w:rPr>
  </w:style>
  <w:style w:type="character" w:customStyle="1" w:styleId="Titre9Car">
    <w:name w:val="Titre 9 Car"/>
    <w:basedOn w:val="Policepardfaut"/>
    <w:link w:val="Titre9"/>
    <w:rsid w:val="00092A24"/>
    <w:rPr>
      <w:rFonts w:eastAsia="Times New Roman"/>
      <w:noProof/>
      <w:lang w:val="fr-CA" w:eastAsia="en-US" w:bidi="ar-SA"/>
    </w:rPr>
  </w:style>
  <w:style w:type="character" w:styleId="Appeldenotedefin">
    <w:name w:val="endnote reference"/>
    <w:basedOn w:val="Policepardfaut"/>
    <w:autoRedefine/>
    <w:rsid w:val="004076FB"/>
    <w:rPr>
      <w:rFonts w:ascii="Perpetua" w:hAnsi="Perpetua"/>
      <w:color w:val="FF0000"/>
      <w:vertAlign w:val="superscript"/>
    </w:rPr>
  </w:style>
  <w:style w:type="character" w:styleId="Appelnotedebasdep">
    <w:name w:val="footnote reference"/>
    <w:basedOn w:val="Policepardfaut"/>
    <w:autoRedefine/>
    <w:rsid w:val="008018B6"/>
    <w:rPr>
      <w:color w:val="FF0000"/>
      <w:position w:val="6"/>
      <w:sz w:val="20"/>
      <w:szCs w:val="24"/>
    </w:rPr>
  </w:style>
  <w:style w:type="paragraph" w:styleId="Grillecouleur-Accent1">
    <w:name w:val="Colorful Grid Accent 1"/>
    <w:basedOn w:val="Normal"/>
    <w:link w:val="Grillecouleur-Accent1Car"/>
    <w:autoRedefine/>
    <w:rsid w:val="00213043"/>
    <w:pPr>
      <w:ind w:left="720"/>
      <w:jc w:val="both"/>
    </w:pPr>
    <w:rPr>
      <w:color w:val="000080"/>
      <w:sz w:val="24"/>
    </w:rPr>
  </w:style>
  <w:style w:type="character" w:customStyle="1" w:styleId="Grillecouleur-Accent1Car">
    <w:name w:val="Grille couleur - Accent 1 Car"/>
    <w:basedOn w:val="Policepardfaut"/>
    <w:link w:val="Grillecouleur-Accent1"/>
    <w:rsid w:val="00213043"/>
    <w:rPr>
      <w:rFonts w:ascii="Times New Roman" w:eastAsia="Times New Roman" w:hAnsi="Times New Roman"/>
      <w:color w:val="000080"/>
      <w:sz w:val="24"/>
      <w:lang w:val="fr-CA" w:eastAsia="en-US"/>
    </w:rPr>
  </w:style>
  <w:style w:type="paragraph" w:customStyle="1" w:styleId="Niveau1">
    <w:name w:val="Niveau 1"/>
    <w:basedOn w:val="Normal"/>
    <w:rsid w:val="0058603D"/>
    <w:pPr>
      <w:ind w:firstLine="0"/>
    </w:pPr>
    <w:rPr>
      <w:b/>
      <w:color w:val="FF0000"/>
      <w:sz w:val="72"/>
    </w:rPr>
  </w:style>
  <w:style w:type="paragraph" w:customStyle="1" w:styleId="Niveau11">
    <w:name w:val="Niveau 1.1"/>
    <w:basedOn w:val="Niveau1"/>
    <w:autoRedefine/>
    <w:rsid w:val="0058603D"/>
    <w:rPr>
      <w:color w:val="008000"/>
      <w:sz w:val="60"/>
    </w:rPr>
  </w:style>
  <w:style w:type="paragraph" w:customStyle="1" w:styleId="Niveau12">
    <w:name w:val="Niveau 1.2"/>
    <w:basedOn w:val="Niveau11"/>
    <w:autoRedefine/>
    <w:rsid w:val="003713A1"/>
    <w:pPr>
      <w:jc w:val="center"/>
    </w:pPr>
    <w:rPr>
      <w:i/>
      <w:color w:val="000080"/>
      <w:sz w:val="32"/>
    </w:rPr>
  </w:style>
  <w:style w:type="paragraph" w:customStyle="1" w:styleId="Niveau2">
    <w:name w:val="Niveau 2"/>
    <w:basedOn w:val="Normal"/>
    <w:rsid w:val="0058603D"/>
    <w:rPr>
      <w:rFonts w:ascii="GillSans" w:hAnsi="GillSans"/>
      <w:sz w:val="20"/>
    </w:rPr>
  </w:style>
  <w:style w:type="paragraph" w:customStyle="1" w:styleId="Niveau3">
    <w:name w:val="Niveau 3"/>
    <w:basedOn w:val="Normal"/>
    <w:autoRedefine/>
    <w:rsid w:val="0058603D"/>
    <w:pPr>
      <w:ind w:left="1080" w:hanging="720"/>
    </w:pPr>
    <w:rPr>
      <w:b/>
    </w:rPr>
  </w:style>
  <w:style w:type="paragraph" w:customStyle="1" w:styleId="Titreniveau1">
    <w:name w:val="Titre niveau 1"/>
    <w:basedOn w:val="Niveau1"/>
    <w:autoRedefine/>
    <w:rsid w:val="00C051E7"/>
    <w:pPr>
      <w:pBdr>
        <w:bottom w:val="single" w:sz="4" w:space="1" w:color="auto"/>
      </w:pBdr>
      <w:ind w:left="1350" w:right="1440"/>
      <w:jc w:val="center"/>
    </w:pPr>
    <w:rPr>
      <w:b w:val="0"/>
      <w:sz w:val="60"/>
    </w:rPr>
  </w:style>
  <w:style w:type="paragraph" w:customStyle="1" w:styleId="Titreniveau2">
    <w:name w:val="Titre niveau 2"/>
    <w:basedOn w:val="Titreniveau1"/>
    <w:autoRedefine/>
    <w:rsid w:val="003713A1"/>
    <w:pPr>
      <w:widowControl w:val="0"/>
      <w:pBdr>
        <w:bottom w:val="none" w:sz="0" w:space="0" w:color="auto"/>
      </w:pBdr>
      <w:ind w:left="0" w:right="0"/>
    </w:pPr>
    <w:rPr>
      <w:color w:val="auto"/>
      <w:sz w:val="48"/>
    </w:rPr>
  </w:style>
  <w:style w:type="paragraph" w:styleId="Corpsdetexte">
    <w:name w:val="Body Text"/>
    <w:basedOn w:val="Normal"/>
    <w:link w:val="CorpsdetexteCar"/>
    <w:rsid w:val="0058603D"/>
    <w:pPr>
      <w:spacing w:before="360" w:after="240"/>
      <w:ind w:firstLine="0"/>
      <w:jc w:val="center"/>
    </w:pPr>
    <w:rPr>
      <w:sz w:val="72"/>
    </w:rPr>
  </w:style>
  <w:style w:type="character" w:customStyle="1" w:styleId="CorpsdetexteCar">
    <w:name w:val="Corps de texte Car"/>
    <w:basedOn w:val="Policepardfaut"/>
    <w:link w:val="Corpsdetexte"/>
    <w:rsid w:val="003713A1"/>
    <w:rPr>
      <w:rFonts w:ascii="Times New Roman" w:eastAsia="Times New Roman" w:hAnsi="Times New Roman"/>
      <w:sz w:val="72"/>
      <w:lang w:eastAsia="en-US"/>
    </w:rPr>
  </w:style>
  <w:style w:type="paragraph" w:styleId="Corpsdetexte2">
    <w:name w:val="Body Text 2"/>
    <w:basedOn w:val="Normal"/>
    <w:link w:val="Corpsdetexte2Car"/>
    <w:rsid w:val="0058603D"/>
    <w:pPr>
      <w:ind w:firstLine="0"/>
      <w:jc w:val="both"/>
    </w:pPr>
    <w:rPr>
      <w:rFonts w:ascii="Arial" w:hAnsi="Arial"/>
    </w:rPr>
  </w:style>
  <w:style w:type="character" w:customStyle="1" w:styleId="Corpsdetexte2Car">
    <w:name w:val="Corps de texte 2 Car"/>
    <w:basedOn w:val="Policepardfaut"/>
    <w:link w:val="Corpsdetexte2"/>
    <w:rsid w:val="00092A24"/>
    <w:rPr>
      <w:rFonts w:ascii="Arial" w:eastAsia="Times New Roman" w:hAnsi="Arial"/>
      <w:sz w:val="28"/>
      <w:lang w:eastAsia="en-US"/>
    </w:rPr>
  </w:style>
  <w:style w:type="paragraph" w:styleId="Corpsdetexte3">
    <w:name w:val="Body Text 3"/>
    <w:basedOn w:val="Normal"/>
    <w:link w:val="Corpsdetexte3Car"/>
    <w:rsid w:val="0058603D"/>
    <w:pPr>
      <w:tabs>
        <w:tab w:val="left" w:pos="510"/>
        <w:tab w:val="left" w:pos="510"/>
      </w:tabs>
      <w:ind w:firstLine="0"/>
      <w:jc w:val="both"/>
    </w:pPr>
    <w:rPr>
      <w:rFonts w:ascii="Arial" w:hAnsi="Arial"/>
      <w:sz w:val="20"/>
    </w:rPr>
  </w:style>
  <w:style w:type="character" w:customStyle="1" w:styleId="Corpsdetexte3Car">
    <w:name w:val="Corps de texte 3 Car"/>
    <w:basedOn w:val="Policepardfaut"/>
    <w:link w:val="Corpsdetexte3"/>
    <w:rsid w:val="00092A24"/>
    <w:rPr>
      <w:rFonts w:ascii="Arial" w:eastAsia="Times New Roman" w:hAnsi="Arial"/>
      <w:lang w:eastAsia="en-US"/>
    </w:rPr>
  </w:style>
  <w:style w:type="paragraph" w:styleId="En-tte">
    <w:name w:val="header"/>
    <w:basedOn w:val="Normal"/>
    <w:link w:val="En-tteCar"/>
    <w:uiPriority w:val="99"/>
    <w:rsid w:val="0058603D"/>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3713A1"/>
    <w:rPr>
      <w:rFonts w:ascii="GillSans" w:eastAsia="Times New Roman" w:hAnsi="GillSans"/>
      <w:lang w:eastAsia="en-US"/>
    </w:rPr>
  </w:style>
  <w:style w:type="paragraph" w:customStyle="1" w:styleId="En-tteimpaire">
    <w:name w:val="En-tÍte impaire"/>
    <w:basedOn w:val="En-tte"/>
    <w:rsid w:val="0058603D"/>
    <w:pPr>
      <w:tabs>
        <w:tab w:val="right" w:pos="8280"/>
        <w:tab w:val="right" w:pos="9000"/>
      </w:tabs>
      <w:ind w:firstLine="0"/>
    </w:pPr>
  </w:style>
  <w:style w:type="paragraph" w:customStyle="1" w:styleId="En-ttepaire">
    <w:name w:val="En-tÍte paire"/>
    <w:basedOn w:val="En-tte"/>
    <w:rsid w:val="0058603D"/>
    <w:pPr>
      <w:tabs>
        <w:tab w:val="left" w:pos="720"/>
      </w:tabs>
      <w:ind w:firstLine="0"/>
    </w:pPr>
  </w:style>
  <w:style w:type="paragraph" w:styleId="Lgende">
    <w:name w:val="caption"/>
    <w:basedOn w:val="Normal"/>
    <w:next w:val="Normal"/>
    <w:qFormat/>
    <w:rsid w:val="0058603D"/>
    <w:pPr>
      <w:spacing w:before="120" w:after="120"/>
    </w:pPr>
    <w:rPr>
      <w:rFonts w:ascii="GillSans" w:hAnsi="GillSans"/>
      <w:b/>
      <w:sz w:val="20"/>
    </w:rPr>
  </w:style>
  <w:style w:type="character" w:styleId="Lienhypertexte">
    <w:name w:val="Hyperlink"/>
    <w:basedOn w:val="Policepardfaut"/>
    <w:uiPriority w:val="99"/>
    <w:rsid w:val="0058603D"/>
    <w:rPr>
      <w:color w:val="0000FF"/>
      <w:u w:val="single"/>
    </w:rPr>
  </w:style>
  <w:style w:type="character" w:styleId="Lienhypertextesuivivisit">
    <w:name w:val="FollowedHyperlink"/>
    <w:basedOn w:val="Policepardfaut"/>
    <w:rsid w:val="0058603D"/>
    <w:rPr>
      <w:color w:val="800080"/>
      <w:u w:val="single"/>
    </w:rPr>
  </w:style>
  <w:style w:type="paragraph" w:customStyle="1" w:styleId="Niveau10">
    <w:name w:val="Niveau 1.0"/>
    <w:basedOn w:val="Niveau11"/>
    <w:autoRedefine/>
    <w:rsid w:val="0058603D"/>
    <w:pPr>
      <w:jc w:val="center"/>
    </w:pPr>
    <w:rPr>
      <w:b w:val="0"/>
      <w:sz w:val="48"/>
    </w:rPr>
  </w:style>
  <w:style w:type="paragraph" w:customStyle="1" w:styleId="Niveau13">
    <w:name w:val="Niveau 1.3"/>
    <w:basedOn w:val="Niveau12"/>
    <w:autoRedefine/>
    <w:rsid w:val="0058603D"/>
    <w:rPr>
      <w:b w:val="0"/>
      <w:i w:val="0"/>
      <w:color w:val="800080"/>
      <w:sz w:val="48"/>
    </w:rPr>
  </w:style>
  <w:style w:type="paragraph" w:styleId="Notedebasdepage">
    <w:name w:val="footnote text"/>
    <w:basedOn w:val="Normal"/>
    <w:link w:val="NotedebasdepageCar"/>
    <w:autoRedefine/>
    <w:rsid w:val="000A24D6"/>
    <w:pPr>
      <w:tabs>
        <w:tab w:val="left" w:pos="720"/>
      </w:tabs>
      <w:ind w:left="360" w:hanging="360"/>
      <w:jc w:val="both"/>
    </w:pPr>
    <w:rPr>
      <w:color w:val="000000"/>
      <w:sz w:val="24"/>
    </w:rPr>
  </w:style>
  <w:style w:type="character" w:customStyle="1" w:styleId="NotedebasdepageCar">
    <w:name w:val="Note de bas de page Car"/>
    <w:basedOn w:val="Policepardfaut"/>
    <w:link w:val="Notedebasdepage"/>
    <w:rsid w:val="000A24D6"/>
    <w:rPr>
      <w:rFonts w:ascii="Times New Roman" w:eastAsia="Times New Roman" w:hAnsi="Times New Roman"/>
      <w:color w:val="000000"/>
      <w:sz w:val="24"/>
      <w:lang w:val="fr-CA" w:eastAsia="en-US"/>
    </w:rPr>
  </w:style>
  <w:style w:type="character" w:styleId="Numrodepage">
    <w:name w:val="page number"/>
    <w:basedOn w:val="Policepardfaut"/>
    <w:rsid w:val="0058603D"/>
  </w:style>
  <w:style w:type="paragraph" w:styleId="Pieddepage">
    <w:name w:val="footer"/>
    <w:basedOn w:val="Normal"/>
    <w:link w:val="PieddepageCar"/>
    <w:uiPriority w:val="99"/>
    <w:rsid w:val="0058603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3713A1"/>
    <w:rPr>
      <w:rFonts w:ascii="GillSans" w:eastAsia="Times New Roman" w:hAnsi="GillSans"/>
      <w:lang w:eastAsia="en-US"/>
    </w:rPr>
  </w:style>
  <w:style w:type="paragraph" w:styleId="Retraitcorpsdetexte">
    <w:name w:val="Body Text Indent"/>
    <w:basedOn w:val="Normal"/>
    <w:link w:val="RetraitcorpsdetexteCar"/>
    <w:rsid w:val="0058603D"/>
    <w:pPr>
      <w:ind w:left="20" w:firstLine="400"/>
    </w:pPr>
    <w:rPr>
      <w:rFonts w:ascii="Arial" w:hAnsi="Arial"/>
    </w:rPr>
  </w:style>
  <w:style w:type="character" w:customStyle="1" w:styleId="RetraitcorpsdetexteCar">
    <w:name w:val="Retrait corps de texte Car"/>
    <w:basedOn w:val="Policepardfaut"/>
    <w:link w:val="Retraitcorpsdetexte"/>
    <w:rsid w:val="00092A24"/>
    <w:rPr>
      <w:rFonts w:ascii="Arial" w:eastAsia="Times New Roman" w:hAnsi="Arial"/>
      <w:sz w:val="28"/>
      <w:lang w:eastAsia="en-US"/>
    </w:rPr>
  </w:style>
  <w:style w:type="paragraph" w:styleId="Retraitcorpsdetexte2">
    <w:name w:val="Body Text Indent 2"/>
    <w:basedOn w:val="Normal"/>
    <w:link w:val="Retraitcorpsdetexte2Car"/>
    <w:rsid w:val="0058603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092A24"/>
    <w:rPr>
      <w:rFonts w:ascii="Arial" w:eastAsia="Times New Roman" w:hAnsi="Arial"/>
      <w:sz w:val="28"/>
      <w:lang w:eastAsia="en-US"/>
    </w:rPr>
  </w:style>
  <w:style w:type="paragraph" w:styleId="Retraitcorpsdetexte3">
    <w:name w:val="Body Text Indent 3"/>
    <w:basedOn w:val="Normal"/>
    <w:link w:val="Retraitcorpsdetexte3Car"/>
    <w:rsid w:val="0058603D"/>
    <w:pPr>
      <w:ind w:left="20" w:firstLine="380"/>
      <w:jc w:val="both"/>
    </w:pPr>
    <w:rPr>
      <w:rFonts w:ascii="Arial" w:hAnsi="Arial"/>
    </w:rPr>
  </w:style>
  <w:style w:type="character" w:customStyle="1" w:styleId="Retraitcorpsdetexte3Car">
    <w:name w:val="Retrait corps de texte 3 Car"/>
    <w:basedOn w:val="Policepardfaut"/>
    <w:link w:val="Retraitcorpsdetexte3"/>
    <w:rsid w:val="00092A24"/>
    <w:rPr>
      <w:rFonts w:ascii="Arial" w:eastAsia="Times New Roman" w:hAnsi="Arial"/>
      <w:sz w:val="28"/>
      <w:lang w:eastAsia="en-US"/>
    </w:rPr>
  </w:style>
  <w:style w:type="paragraph" w:customStyle="1" w:styleId="texteenvidence">
    <w:name w:val="texte en évidence"/>
    <w:basedOn w:val="Normal"/>
    <w:rsid w:val="0058603D"/>
    <w:pPr>
      <w:widowControl w:val="0"/>
      <w:jc w:val="both"/>
    </w:pPr>
    <w:rPr>
      <w:rFonts w:ascii="Arial" w:hAnsi="Arial"/>
      <w:b/>
      <w:color w:val="FF0000"/>
    </w:rPr>
  </w:style>
  <w:style w:type="paragraph" w:styleId="Titre">
    <w:name w:val="Title"/>
    <w:basedOn w:val="Normal"/>
    <w:link w:val="TitreCar"/>
    <w:autoRedefine/>
    <w:qFormat/>
    <w:rsid w:val="0058603D"/>
    <w:pPr>
      <w:ind w:firstLine="0"/>
      <w:jc w:val="center"/>
    </w:pPr>
    <w:rPr>
      <w:b/>
      <w:sz w:val="48"/>
    </w:rPr>
  </w:style>
  <w:style w:type="character" w:customStyle="1" w:styleId="TitreCar">
    <w:name w:val="Titre Car"/>
    <w:basedOn w:val="Policepardfaut"/>
    <w:link w:val="Titre"/>
    <w:rsid w:val="00092A24"/>
    <w:rPr>
      <w:rFonts w:ascii="Times New Roman" w:eastAsia="Times New Roman" w:hAnsi="Times New Roman"/>
      <w:b/>
      <w:sz w:val="48"/>
      <w:lang w:eastAsia="en-US"/>
    </w:rPr>
  </w:style>
  <w:style w:type="paragraph" w:customStyle="1" w:styleId="livre">
    <w:name w:val="livre"/>
    <w:basedOn w:val="Normal"/>
    <w:rsid w:val="0058603D"/>
    <w:pPr>
      <w:tabs>
        <w:tab w:val="right" w:pos="9360"/>
      </w:tabs>
      <w:ind w:firstLine="0"/>
    </w:pPr>
    <w:rPr>
      <w:b/>
      <w:color w:val="000080"/>
      <w:sz w:val="144"/>
    </w:rPr>
  </w:style>
  <w:style w:type="paragraph" w:customStyle="1" w:styleId="livrest">
    <w:name w:val="livre_st"/>
    <w:basedOn w:val="Normal"/>
    <w:rsid w:val="0058603D"/>
    <w:pPr>
      <w:tabs>
        <w:tab w:val="right" w:pos="9360"/>
      </w:tabs>
      <w:ind w:firstLine="0"/>
    </w:pPr>
    <w:rPr>
      <w:b/>
      <w:color w:val="FF0000"/>
      <w:sz w:val="72"/>
    </w:rPr>
  </w:style>
  <w:style w:type="paragraph" w:customStyle="1" w:styleId="tableautitre">
    <w:name w:val="tableau_titre"/>
    <w:basedOn w:val="Normal"/>
    <w:rsid w:val="0058603D"/>
    <w:pPr>
      <w:ind w:firstLine="0"/>
      <w:jc w:val="center"/>
    </w:pPr>
    <w:rPr>
      <w:rFonts w:ascii="Times" w:hAnsi="Times"/>
      <w:b/>
    </w:rPr>
  </w:style>
  <w:style w:type="paragraph" w:customStyle="1" w:styleId="planche">
    <w:name w:val="planche"/>
    <w:basedOn w:val="tableautitre"/>
    <w:autoRedefine/>
    <w:rsid w:val="00915E9D"/>
    <w:pPr>
      <w:widowControl w:val="0"/>
    </w:pPr>
    <w:rPr>
      <w:rFonts w:ascii="Times New Roman" w:hAnsi="Times New Roman"/>
      <w:b w:val="0"/>
      <w:color w:val="000080"/>
      <w:sz w:val="40"/>
      <w:lang w:bidi="fr-FR"/>
    </w:rPr>
  </w:style>
  <w:style w:type="paragraph" w:customStyle="1" w:styleId="tableaust">
    <w:name w:val="tableau_st"/>
    <w:basedOn w:val="Normal"/>
    <w:rsid w:val="0058603D"/>
    <w:pPr>
      <w:ind w:firstLine="0"/>
      <w:jc w:val="center"/>
    </w:pPr>
    <w:rPr>
      <w:rFonts w:ascii="Times" w:hAnsi="Times"/>
      <w:i/>
      <w:color w:val="FF0000"/>
    </w:rPr>
  </w:style>
  <w:style w:type="paragraph" w:customStyle="1" w:styleId="planchest">
    <w:name w:val="planche_st"/>
    <w:basedOn w:val="tableaust"/>
    <w:autoRedefine/>
    <w:rsid w:val="00B6500E"/>
    <w:pPr>
      <w:spacing w:before="60"/>
    </w:pPr>
    <w:rPr>
      <w:rFonts w:ascii="Times New Roman" w:hAnsi="Times New Roman"/>
      <w:i w:val="0"/>
      <w:sz w:val="48"/>
    </w:rPr>
  </w:style>
  <w:style w:type="paragraph" w:customStyle="1" w:styleId="section">
    <w:name w:val="section"/>
    <w:basedOn w:val="Normal"/>
    <w:rsid w:val="0058603D"/>
    <w:pPr>
      <w:ind w:firstLine="0"/>
      <w:jc w:val="center"/>
    </w:pPr>
    <w:rPr>
      <w:rFonts w:ascii="Times" w:hAnsi="Times"/>
      <w:b/>
      <w:sz w:val="48"/>
    </w:rPr>
  </w:style>
  <w:style w:type="paragraph" w:customStyle="1" w:styleId="suite">
    <w:name w:val="suite"/>
    <w:basedOn w:val="Normal"/>
    <w:autoRedefine/>
    <w:rsid w:val="00B54932"/>
    <w:pPr>
      <w:tabs>
        <w:tab w:val="right" w:pos="9360"/>
      </w:tabs>
      <w:ind w:firstLine="0"/>
      <w:jc w:val="center"/>
    </w:pPr>
    <w:rPr>
      <w:b/>
    </w:rPr>
  </w:style>
  <w:style w:type="paragraph" w:customStyle="1" w:styleId="tdmchap">
    <w:name w:val="tdm_chap"/>
    <w:basedOn w:val="Normal"/>
    <w:rsid w:val="0058603D"/>
    <w:pPr>
      <w:tabs>
        <w:tab w:val="left" w:pos="1980"/>
      </w:tabs>
      <w:ind w:firstLine="0"/>
    </w:pPr>
    <w:rPr>
      <w:rFonts w:ascii="Times" w:hAnsi="Times"/>
      <w:b/>
    </w:rPr>
  </w:style>
  <w:style w:type="paragraph" w:customStyle="1" w:styleId="partie">
    <w:name w:val="partie"/>
    <w:basedOn w:val="Normal"/>
    <w:autoRedefine/>
    <w:rsid w:val="000406AD"/>
    <w:pPr>
      <w:ind w:firstLine="0"/>
      <w:jc w:val="center"/>
    </w:pPr>
    <w:rPr>
      <w:b/>
      <w:sz w:val="72"/>
    </w:rPr>
  </w:style>
  <w:style w:type="paragraph" w:styleId="Normalcentr">
    <w:name w:val="Block Text"/>
    <w:basedOn w:val="Normal"/>
    <w:rsid w:val="0058603D"/>
    <w:pPr>
      <w:ind w:left="180" w:right="180"/>
      <w:jc w:val="both"/>
    </w:pPr>
  </w:style>
  <w:style w:type="paragraph" w:customStyle="1" w:styleId="Titlest">
    <w:name w:val="Title_st"/>
    <w:basedOn w:val="Titre"/>
    <w:autoRedefine/>
    <w:rsid w:val="002E70C6"/>
    <w:rPr>
      <w:b w:val="0"/>
      <w:sz w:val="64"/>
    </w:rPr>
  </w:style>
  <w:style w:type="paragraph" w:styleId="TableauGrille2">
    <w:name w:val="Grid Table 2"/>
    <w:basedOn w:val="Normal"/>
    <w:rsid w:val="0058603D"/>
    <w:pPr>
      <w:ind w:left="360" w:hanging="360"/>
    </w:pPr>
    <w:rPr>
      <w:sz w:val="20"/>
      <w:lang w:val="fr-FR"/>
    </w:rPr>
  </w:style>
  <w:style w:type="paragraph" w:styleId="Notedefin">
    <w:name w:val="endnote text"/>
    <w:basedOn w:val="Normal"/>
    <w:link w:val="NotedefinCar"/>
    <w:rsid w:val="0058603D"/>
    <w:pPr>
      <w:spacing w:before="240"/>
    </w:pPr>
    <w:rPr>
      <w:sz w:val="20"/>
      <w:lang w:val="fr-FR"/>
    </w:rPr>
  </w:style>
  <w:style w:type="character" w:customStyle="1" w:styleId="NotedefinCar">
    <w:name w:val="Note de fin Car"/>
    <w:basedOn w:val="Policepardfaut"/>
    <w:link w:val="Notedefin"/>
    <w:rsid w:val="0053083A"/>
    <w:rPr>
      <w:rFonts w:ascii="Times New Roman" w:eastAsia="Times New Roman" w:hAnsi="Times New Roman"/>
      <w:lang w:val="fr-FR" w:eastAsia="en-US"/>
    </w:rPr>
  </w:style>
  <w:style w:type="paragraph" w:customStyle="1" w:styleId="niveau14">
    <w:name w:val="niveau 1"/>
    <w:basedOn w:val="Normal"/>
    <w:rsid w:val="0058603D"/>
    <w:pPr>
      <w:spacing w:before="240"/>
      <w:ind w:firstLine="0"/>
    </w:pPr>
    <w:rPr>
      <w:rFonts w:ascii="B Times Bold" w:hAnsi="B Times Bold"/>
      <w:lang w:val="fr-FR"/>
    </w:rPr>
  </w:style>
  <w:style w:type="paragraph" w:customStyle="1" w:styleId="Titlest2">
    <w:name w:val="Title_st2"/>
    <w:basedOn w:val="Titlest"/>
    <w:rsid w:val="0058603D"/>
  </w:style>
  <w:style w:type="character" w:customStyle="1" w:styleId="twocolfixlthdr">
    <w:name w:val="twocolfixlthdr"/>
    <w:basedOn w:val="Policepardfaut"/>
    <w:rsid w:val="006C0D27"/>
  </w:style>
  <w:style w:type="character" w:styleId="Accentuation">
    <w:name w:val="Emphasis"/>
    <w:basedOn w:val="Policepardfaut"/>
    <w:uiPriority w:val="20"/>
    <w:qFormat/>
    <w:rsid w:val="006C0D27"/>
    <w:rPr>
      <w:i/>
    </w:rPr>
  </w:style>
  <w:style w:type="paragraph" w:customStyle="1" w:styleId="puces">
    <w:name w:val="puces"/>
    <w:basedOn w:val="Normal"/>
    <w:rsid w:val="006C0D27"/>
    <w:pPr>
      <w:spacing w:beforeLines="1" w:afterLines="1" w:after="200"/>
      <w:ind w:firstLine="0"/>
    </w:pPr>
    <w:rPr>
      <w:rFonts w:ascii="Times" w:eastAsia="Cambria" w:hAnsi="Times"/>
      <w:sz w:val="20"/>
      <w:lang w:eastAsia="fr-FR"/>
    </w:rPr>
  </w:style>
  <w:style w:type="paragraph" w:customStyle="1" w:styleId="Titlest20">
    <w:name w:val="Title_st 2"/>
    <w:basedOn w:val="Titlest"/>
    <w:rsid w:val="008944FD"/>
  </w:style>
  <w:style w:type="paragraph" w:customStyle="1" w:styleId="p">
    <w:name w:val="p"/>
    <w:basedOn w:val="Normal"/>
    <w:autoRedefine/>
    <w:rsid w:val="004373EF"/>
    <w:pPr>
      <w:spacing w:before="120" w:after="120"/>
      <w:ind w:firstLine="0"/>
    </w:pPr>
  </w:style>
  <w:style w:type="paragraph" w:customStyle="1" w:styleId="Normal0">
    <w:name w:val="Normal +"/>
    <w:basedOn w:val="Normal"/>
    <w:rsid w:val="003713A1"/>
    <w:pPr>
      <w:spacing w:before="120" w:after="120"/>
      <w:jc w:val="both"/>
    </w:pPr>
    <w:rPr>
      <w:lang w:eastAsia="fr-FR"/>
    </w:rPr>
  </w:style>
  <w:style w:type="paragraph" w:customStyle="1" w:styleId="Sansinterligne1">
    <w:name w:val="Sans interligne1"/>
    <w:uiPriority w:val="1"/>
    <w:qFormat/>
    <w:rsid w:val="003713A1"/>
    <w:rPr>
      <w:rFonts w:ascii="Calibri" w:eastAsia="Calibri" w:hAnsi="Calibri"/>
      <w:sz w:val="22"/>
      <w:szCs w:val="22"/>
      <w:lang w:val="fr-FR" w:eastAsia="en-US"/>
    </w:rPr>
  </w:style>
  <w:style w:type="paragraph" w:styleId="NormalWeb">
    <w:name w:val="Normal (Web)"/>
    <w:basedOn w:val="Normal"/>
    <w:uiPriority w:val="99"/>
    <w:unhideWhenUsed/>
    <w:rsid w:val="003713A1"/>
    <w:pPr>
      <w:spacing w:before="100" w:beforeAutospacing="1" w:after="100" w:afterAutospacing="1"/>
      <w:ind w:firstLine="0"/>
    </w:pPr>
    <w:rPr>
      <w:sz w:val="24"/>
      <w:szCs w:val="24"/>
      <w:lang w:val="fr-FR" w:eastAsia="fr-FR"/>
    </w:rPr>
  </w:style>
  <w:style w:type="character" w:styleId="CitationHTML">
    <w:name w:val="HTML Cite"/>
    <w:basedOn w:val="Policepardfaut"/>
    <w:rsid w:val="003713A1"/>
    <w:rPr>
      <w:i/>
    </w:rPr>
  </w:style>
  <w:style w:type="character" w:customStyle="1" w:styleId="st">
    <w:name w:val="st"/>
    <w:basedOn w:val="Policepardfaut"/>
    <w:rsid w:val="003713A1"/>
  </w:style>
  <w:style w:type="paragraph" w:customStyle="1" w:styleId="BodyBulletA">
    <w:name w:val="Body Bullet A"/>
    <w:rsid w:val="003713A1"/>
    <w:rPr>
      <w:rFonts w:ascii="Helvetica" w:eastAsia="ヒラギノ角ゴ Pro W3" w:hAnsi="Helvetica"/>
      <w:color w:val="000000"/>
      <w:sz w:val="24"/>
      <w:lang w:val="en-US"/>
    </w:rPr>
  </w:style>
  <w:style w:type="character" w:customStyle="1" w:styleId="gl">
    <w:name w:val="gl"/>
    <w:basedOn w:val="Policepardfaut"/>
    <w:rsid w:val="003713A1"/>
  </w:style>
  <w:style w:type="character" w:customStyle="1" w:styleId="txtconteudo">
    <w:name w:val="txtconteudo"/>
    <w:basedOn w:val="Policepardfaut"/>
    <w:rsid w:val="003713A1"/>
  </w:style>
  <w:style w:type="character" w:customStyle="1" w:styleId="pays1">
    <w:name w:val="pays1"/>
    <w:rsid w:val="003713A1"/>
    <w:rPr>
      <w:b/>
      <w:bCs/>
      <w:color w:val="4040CD"/>
      <w:sz w:val="17"/>
      <w:szCs w:val="17"/>
    </w:rPr>
  </w:style>
  <w:style w:type="paragraph" w:customStyle="1" w:styleId="SemEspaamento1">
    <w:name w:val="Sem Espaçamento1"/>
    <w:basedOn w:val="Normal"/>
    <w:qFormat/>
    <w:rsid w:val="003713A1"/>
    <w:pPr>
      <w:suppressAutoHyphens/>
      <w:spacing w:before="120" w:after="120" w:line="500" w:lineRule="exact"/>
      <w:ind w:firstLine="510"/>
      <w:jc w:val="both"/>
    </w:pPr>
    <w:rPr>
      <w:rFonts w:ascii="Arial" w:hAnsi="Arial"/>
      <w:sz w:val="24"/>
      <w:szCs w:val="24"/>
      <w:lang w:val="pt-BR" w:eastAsia="pt-BR"/>
    </w:rPr>
  </w:style>
  <w:style w:type="character" w:customStyle="1" w:styleId="A4">
    <w:name w:val="A4"/>
    <w:rsid w:val="003713A1"/>
    <w:rPr>
      <w:rFonts w:cs="Futura Lt BT"/>
      <w:color w:val="000000"/>
      <w:sz w:val="20"/>
      <w:szCs w:val="20"/>
    </w:rPr>
  </w:style>
  <w:style w:type="paragraph" w:customStyle="1" w:styleId="Pa2">
    <w:name w:val="Pa2"/>
    <w:basedOn w:val="Normal"/>
    <w:next w:val="Normal"/>
    <w:rsid w:val="003713A1"/>
    <w:pPr>
      <w:autoSpaceDE w:val="0"/>
      <w:autoSpaceDN w:val="0"/>
      <w:adjustRightInd w:val="0"/>
      <w:spacing w:line="241" w:lineRule="atLeast"/>
      <w:ind w:firstLine="0"/>
    </w:pPr>
    <w:rPr>
      <w:rFonts w:ascii="Futura Lt BT" w:eastAsia="Calibri" w:hAnsi="Futura Lt BT"/>
      <w:sz w:val="24"/>
      <w:szCs w:val="24"/>
      <w:lang w:val="pt-BR" w:eastAsia="pt-BR"/>
    </w:rPr>
  </w:style>
  <w:style w:type="character" w:customStyle="1" w:styleId="hps">
    <w:name w:val="hps"/>
    <w:basedOn w:val="Policepardfaut"/>
    <w:rsid w:val="003713A1"/>
  </w:style>
  <w:style w:type="character" w:styleId="lev">
    <w:name w:val="Strong"/>
    <w:uiPriority w:val="22"/>
    <w:qFormat/>
    <w:rsid w:val="003713A1"/>
    <w:rPr>
      <w:rFonts w:cs="Times New Roman"/>
      <w:b/>
      <w:bCs/>
    </w:rPr>
  </w:style>
  <w:style w:type="paragraph" w:customStyle="1" w:styleId="BlockText1">
    <w:name w:val="Block Text1"/>
    <w:basedOn w:val="Normal"/>
    <w:rsid w:val="003713A1"/>
    <w:pPr>
      <w:tabs>
        <w:tab w:val="left" w:pos="6660"/>
      </w:tabs>
      <w:overflowPunct w:val="0"/>
      <w:autoSpaceDE w:val="0"/>
      <w:autoSpaceDN w:val="0"/>
      <w:adjustRightInd w:val="0"/>
      <w:ind w:left="360" w:right="1178" w:firstLine="0"/>
      <w:jc w:val="both"/>
      <w:textAlignment w:val="baseline"/>
    </w:pPr>
    <w:rPr>
      <w:sz w:val="24"/>
      <w:lang w:val="fr-FR" w:eastAsia="fr-FR"/>
    </w:rPr>
  </w:style>
  <w:style w:type="character" w:customStyle="1" w:styleId="l6">
    <w:name w:val="l6"/>
    <w:basedOn w:val="Policepardfaut"/>
    <w:rsid w:val="003713A1"/>
  </w:style>
  <w:style w:type="character" w:customStyle="1" w:styleId="cit-first-page">
    <w:name w:val="cit-first-page"/>
    <w:basedOn w:val="Policepardfaut"/>
    <w:rsid w:val="003713A1"/>
  </w:style>
  <w:style w:type="character" w:customStyle="1" w:styleId="cit-sep">
    <w:name w:val="cit-sep"/>
    <w:basedOn w:val="Policepardfaut"/>
    <w:rsid w:val="003713A1"/>
  </w:style>
  <w:style w:type="character" w:customStyle="1" w:styleId="cit-last-page">
    <w:name w:val="cit-last-page"/>
    <w:basedOn w:val="Policepardfaut"/>
    <w:rsid w:val="003713A1"/>
  </w:style>
  <w:style w:type="paragraph" w:styleId="Listecouleur-Accent1">
    <w:name w:val="Colorful List Accent 1"/>
    <w:basedOn w:val="Normal"/>
    <w:uiPriority w:val="34"/>
    <w:qFormat/>
    <w:rsid w:val="003713A1"/>
    <w:pPr>
      <w:ind w:left="720" w:firstLine="0"/>
      <w:contextualSpacing/>
    </w:pPr>
    <w:rPr>
      <w:sz w:val="24"/>
      <w:szCs w:val="24"/>
      <w:lang w:eastAsia="fr-FR"/>
    </w:rPr>
  </w:style>
  <w:style w:type="character" w:customStyle="1" w:styleId="JuParaChar1">
    <w:name w:val="Ju_Para Char1"/>
    <w:basedOn w:val="Policepardfaut"/>
    <w:link w:val="JuPara"/>
    <w:uiPriority w:val="99"/>
    <w:locked/>
    <w:rsid w:val="003713A1"/>
    <w:rPr>
      <w:rFonts w:ascii="Times New Roman" w:eastAsia="Times New Roman" w:hAnsi="Times New Roman"/>
      <w:sz w:val="24"/>
      <w:lang w:val="fr-FR"/>
    </w:rPr>
  </w:style>
  <w:style w:type="paragraph" w:customStyle="1" w:styleId="JuPara">
    <w:name w:val="Ju_Para"/>
    <w:basedOn w:val="Normal"/>
    <w:link w:val="JuParaChar1"/>
    <w:uiPriority w:val="99"/>
    <w:rsid w:val="003713A1"/>
    <w:pPr>
      <w:suppressAutoHyphens/>
      <w:ind w:firstLine="284"/>
      <w:jc w:val="both"/>
    </w:pPr>
    <w:rPr>
      <w:sz w:val="24"/>
      <w:lang w:val="fr-FR" w:eastAsia="fr-FR"/>
    </w:rPr>
  </w:style>
  <w:style w:type="paragraph" w:customStyle="1" w:styleId="Default">
    <w:name w:val="Default"/>
    <w:rsid w:val="003713A1"/>
    <w:pPr>
      <w:autoSpaceDE w:val="0"/>
      <w:autoSpaceDN w:val="0"/>
      <w:adjustRightInd w:val="0"/>
    </w:pPr>
    <w:rPr>
      <w:rFonts w:ascii="Times New Roman" w:eastAsia="Calibri" w:hAnsi="Times New Roman"/>
      <w:color w:val="000000"/>
      <w:sz w:val="24"/>
      <w:szCs w:val="24"/>
      <w:lang w:eastAsia="fr-CA"/>
    </w:rPr>
  </w:style>
  <w:style w:type="paragraph" w:customStyle="1" w:styleId="indent-1-0">
    <w:name w:val="indent-1-0"/>
    <w:basedOn w:val="Normal"/>
    <w:uiPriority w:val="99"/>
    <w:rsid w:val="003713A1"/>
    <w:pPr>
      <w:spacing w:before="100" w:beforeAutospacing="1" w:after="100" w:afterAutospacing="1"/>
      <w:ind w:firstLine="240"/>
    </w:pPr>
    <w:rPr>
      <w:rFonts w:ascii="Verdana" w:hAnsi="Verdana"/>
      <w:sz w:val="24"/>
      <w:szCs w:val="24"/>
      <w:lang w:eastAsia="fr-CA"/>
    </w:rPr>
  </w:style>
  <w:style w:type="character" w:customStyle="1" w:styleId="FootnoteTextChar">
    <w:name w:val="Footnote Text Char"/>
    <w:basedOn w:val="Policepardfaut"/>
    <w:locked/>
    <w:rsid w:val="003713A1"/>
    <w:rPr>
      <w:rFonts w:ascii="Times New Roman" w:hAnsi="Times New Roman" w:cs="Times New Roman" w:hint="default"/>
      <w:lang w:val="en-AU" w:eastAsia="en-US" w:bidi="ar-SA"/>
    </w:rPr>
  </w:style>
  <w:style w:type="paragraph" w:customStyle="1" w:styleId="rtejustify">
    <w:name w:val="rtejustify"/>
    <w:basedOn w:val="Normal"/>
    <w:rsid w:val="003713A1"/>
    <w:pPr>
      <w:spacing w:before="100" w:beforeAutospacing="1" w:after="100" w:afterAutospacing="1"/>
      <w:ind w:firstLine="0"/>
      <w:jc w:val="both"/>
    </w:pPr>
    <w:rPr>
      <w:sz w:val="24"/>
      <w:szCs w:val="24"/>
      <w:lang w:eastAsia="fr-CA"/>
    </w:rPr>
  </w:style>
  <w:style w:type="paragraph" w:customStyle="1" w:styleId="spip">
    <w:name w:val="spip"/>
    <w:basedOn w:val="Normal"/>
    <w:uiPriority w:val="99"/>
    <w:rsid w:val="003713A1"/>
    <w:pPr>
      <w:spacing w:before="100" w:beforeAutospacing="1" w:after="100" w:afterAutospacing="1"/>
      <w:ind w:firstLine="0"/>
    </w:pPr>
    <w:rPr>
      <w:sz w:val="24"/>
      <w:szCs w:val="24"/>
      <w:lang w:val="fr-FR" w:eastAsia="fr-FR"/>
    </w:rPr>
  </w:style>
  <w:style w:type="paragraph" w:styleId="Textedebulles">
    <w:name w:val="Balloon Text"/>
    <w:basedOn w:val="Normal"/>
    <w:link w:val="TextedebullesCar"/>
    <w:uiPriority w:val="99"/>
    <w:semiHidden/>
    <w:unhideWhenUsed/>
    <w:rsid w:val="003713A1"/>
    <w:pPr>
      <w:ind w:firstLine="0"/>
    </w:pPr>
    <w:rPr>
      <w:rFonts w:ascii="Tahoma" w:eastAsia="Cambria" w:hAnsi="Tahoma" w:cs="Tahoma"/>
      <w:sz w:val="16"/>
      <w:szCs w:val="16"/>
    </w:rPr>
  </w:style>
  <w:style w:type="character" w:customStyle="1" w:styleId="TextedebullesCar">
    <w:name w:val="Texte de bulles Car"/>
    <w:basedOn w:val="Policepardfaut"/>
    <w:link w:val="Textedebulles"/>
    <w:uiPriority w:val="99"/>
    <w:semiHidden/>
    <w:rsid w:val="003713A1"/>
    <w:rPr>
      <w:rFonts w:ascii="Tahoma" w:eastAsia="Cambria" w:hAnsi="Tahoma" w:cs="Tahoma"/>
      <w:sz w:val="16"/>
      <w:szCs w:val="16"/>
      <w:lang w:eastAsia="en-US"/>
    </w:rPr>
  </w:style>
  <w:style w:type="paragraph" w:customStyle="1" w:styleId="Titlest1">
    <w:name w:val="Title_st 1"/>
    <w:basedOn w:val="Titlest"/>
    <w:rsid w:val="00FB1B47"/>
  </w:style>
  <w:style w:type="character" w:customStyle="1" w:styleId="apple-converted-space">
    <w:name w:val="apple-converted-space"/>
    <w:basedOn w:val="Policepardfaut"/>
    <w:rsid w:val="003713A1"/>
  </w:style>
  <w:style w:type="character" w:customStyle="1" w:styleId="Caractredenotedebasdepage">
    <w:name w:val="Caractère de note de bas de page"/>
    <w:rsid w:val="003713A1"/>
    <w:rPr>
      <w:vertAlign w:val="superscript"/>
    </w:rPr>
  </w:style>
  <w:style w:type="character" w:customStyle="1" w:styleId="spipsurligne">
    <w:name w:val="spip_surligne"/>
    <w:basedOn w:val="Policepardfaut"/>
    <w:rsid w:val="003713A1"/>
  </w:style>
  <w:style w:type="character" w:customStyle="1" w:styleId="hl2">
    <w:name w:val="hl2"/>
    <w:basedOn w:val="Policepardfaut"/>
    <w:rsid w:val="003713A1"/>
  </w:style>
  <w:style w:type="character" w:customStyle="1" w:styleId="regular11px">
    <w:name w:val="regular11px"/>
    <w:basedOn w:val="Policepardfaut"/>
    <w:rsid w:val="003713A1"/>
  </w:style>
  <w:style w:type="paragraph" w:customStyle="1" w:styleId="Normal66">
    <w:name w:val="Normal66"/>
    <w:basedOn w:val="Normal"/>
    <w:link w:val="Normal66Car"/>
    <w:rsid w:val="003713A1"/>
    <w:pPr>
      <w:spacing w:before="100" w:beforeAutospacing="1" w:after="100" w:afterAutospacing="1"/>
      <w:ind w:firstLine="0"/>
      <w:jc w:val="both"/>
    </w:pPr>
    <w:rPr>
      <w:sz w:val="24"/>
      <w:lang w:val="x-none"/>
    </w:rPr>
  </w:style>
  <w:style w:type="character" w:customStyle="1" w:styleId="Normal66Car">
    <w:name w:val="Normal66 Car"/>
    <w:link w:val="Normal66"/>
    <w:rsid w:val="003713A1"/>
    <w:rPr>
      <w:rFonts w:ascii="Times New Roman" w:eastAsia="Times New Roman" w:hAnsi="Times New Roman"/>
      <w:sz w:val="24"/>
      <w:lang w:eastAsia="en-US"/>
    </w:rPr>
  </w:style>
  <w:style w:type="paragraph" w:customStyle="1" w:styleId="Sansinterligne2">
    <w:name w:val="Sans interligne2"/>
    <w:uiPriority w:val="1"/>
    <w:qFormat/>
    <w:rsid w:val="003713A1"/>
    <w:rPr>
      <w:rFonts w:ascii="Calibri" w:eastAsia="Calibri" w:hAnsi="Calibri"/>
      <w:sz w:val="22"/>
      <w:szCs w:val="22"/>
      <w:lang w:val="fr-FR" w:eastAsia="en-US"/>
    </w:rPr>
  </w:style>
  <w:style w:type="character" w:customStyle="1" w:styleId="addmd">
    <w:name w:val="addmd"/>
    <w:basedOn w:val="Policepardfaut"/>
    <w:rsid w:val="003713A1"/>
  </w:style>
  <w:style w:type="paragraph" w:styleId="Commentaire">
    <w:name w:val="annotation text"/>
    <w:basedOn w:val="Normal"/>
    <w:link w:val="CommentaireCar"/>
    <w:uiPriority w:val="99"/>
    <w:unhideWhenUsed/>
    <w:rsid w:val="003713A1"/>
    <w:pPr>
      <w:spacing w:after="200" w:line="276" w:lineRule="auto"/>
      <w:ind w:firstLine="0"/>
    </w:pPr>
    <w:rPr>
      <w:rFonts w:ascii="Calibri" w:eastAsia="Calibri" w:hAnsi="Calibri"/>
      <w:sz w:val="20"/>
      <w:lang w:val="fr-FR"/>
    </w:rPr>
  </w:style>
  <w:style w:type="character" w:customStyle="1" w:styleId="CommentaireCar">
    <w:name w:val="Commentaire Car"/>
    <w:basedOn w:val="Policepardfaut"/>
    <w:link w:val="Commentaire"/>
    <w:uiPriority w:val="99"/>
    <w:rsid w:val="003713A1"/>
    <w:rPr>
      <w:rFonts w:ascii="Calibri" w:eastAsia="Calibri" w:hAnsi="Calibri"/>
      <w:lang w:val="fr-FR" w:eastAsia="en-US"/>
    </w:rPr>
  </w:style>
  <w:style w:type="character" w:customStyle="1" w:styleId="highlightedsearchterm">
    <w:name w:val="highlightedsearchterm"/>
    <w:basedOn w:val="Policepardfaut"/>
    <w:rsid w:val="003713A1"/>
  </w:style>
  <w:style w:type="character" w:customStyle="1" w:styleId="author">
    <w:name w:val="author"/>
    <w:basedOn w:val="Policepardfaut"/>
    <w:rsid w:val="003713A1"/>
  </w:style>
  <w:style w:type="character" w:customStyle="1" w:styleId="bylinepipe">
    <w:name w:val="bylinepipe"/>
    <w:basedOn w:val="Policepardfaut"/>
    <w:rsid w:val="003713A1"/>
  </w:style>
  <w:style w:type="paragraph" w:styleId="Listepuces">
    <w:name w:val="List Bullet"/>
    <w:basedOn w:val="Normal"/>
    <w:uiPriority w:val="99"/>
    <w:unhideWhenUsed/>
    <w:rsid w:val="003713A1"/>
    <w:pPr>
      <w:numPr>
        <w:numId w:val="1"/>
      </w:numPr>
      <w:spacing w:after="200" w:line="276" w:lineRule="auto"/>
      <w:contextualSpacing/>
    </w:pPr>
    <w:rPr>
      <w:rFonts w:eastAsia="Cambria"/>
      <w:sz w:val="22"/>
      <w:szCs w:val="22"/>
      <w:lang w:val="fr-FR"/>
    </w:rPr>
  </w:style>
  <w:style w:type="character" w:customStyle="1" w:styleId="reference-text">
    <w:name w:val="reference-text"/>
    <w:basedOn w:val="Policepardfaut"/>
    <w:rsid w:val="003713A1"/>
  </w:style>
  <w:style w:type="paragraph" w:customStyle="1" w:styleId="Texte">
    <w:name w:val="Texte"/>
    <w:basedOn w:val="Normal"/>
    <w:link w:val="TexteCar"/>
    <w:qFormat/>
    <w:rsid w:val="003713A1"/>
    <w:pPr>
      <w:spacing w:before="100" w:beforeAutospacing="1" w:after="100" w:afterAutospacing="1"/>
      <w:ind w:left="567" w:firstLine="0"/>
      <w:jc w:val="both"/>
    </w:pPr>
    <w:rPr>
      <w:sz w:val="24"/>
      <w:szCs w:val="24"/>
      <w:lang w:val="fr-FR"/>
    </w:rPr>
  </w:style>
  <w:style w:type="character" w:customStyle="1" w:styleId="TexteCar">
    <w:name w:val="Texte Car"/>
    <w:link w:val="Texte"/>
    <w:rsid w:val="003713A1"/>
    <w:rPr>
      <w:rFonts w:ascii="Times New Roman" w:eastAsia="Times New Roman" w:hAnsi="Times New Roman"/>
      <w:sz w:val="24"/>
      <w:szCs w:val="24"/>
      <w:lang w:val="fr-FR" w:eastAsia="en-US"/>
    </w:rPr>
  </w:style>
  <w:style w:type="paragraph" w:styleId="Textebrut">
    <w:name w:val="Plain Text"/>
    <w:basedOn w:val="Normal"/>
    <w:link w:val="TextebrutCar"/>
    <w:uiPriority w:val="99"/>
    <w:unhideWhenUsed/>
    <w:rsid w:val="003713A1"/>
    <w:pPr>
      <w:ind w:firstLine="0"/>
    </w:pPr>
    <w:rPr>
      <w:rFonts w:ascii="Consolas" w:eastAsia="Cambria" w:hAnsi="Consolas"/>
      <w:sz w:val="21"/>
      <w:szCs w:val="21"/>
    </w:rPr>
  </w:style>
  <w:style w:type="character" w:customStyle="1" w:styleId="TextebrutCar">
    <w:name w:val="Texte brut Car"/>
    <w:basedOn w:val="Policepardfaut"/>
    <w:link w:val="Textebrut"/>
    <w:uiPriority w:val="99"/>
    <w:rsid w:val="003713A1"/>
    <w:rPr>
      <w:rFonts w:ascii="Consolas" w:eastAsia="Cambria" w:hAnsi="Consolas" w:cs="Times New Roman"/>
      <w:sz w:val="21"/>
      <w:szCs w:val="21"/>
      <w:lang w:eastAsia="en-US"/>
    </w:rPr>
  </w:style>
  <w:style w:type="table" w:styleId="Grilledutableau">
    <w:name w:val="Table Grid"/>
    <w:basedOn w:val="TableauNormal"/>
    <w:uiPriority w:val="99"/>
    <w:rsid w:val="00C37F7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itest">
    <w:name w:val="suite st"/>
    <w:basedOn w:val="suite"/>
    <w:autoRedefine/>
    <w:rsid w:val="00D64698"/>
    <w:rPr>
      <w:b w:val="0"/>
      <w:color w:val="0000FF"/>
      <w:sz w:val="24"/>
    </w:rPr>
  </w:style>
  <w:style w:type="paragraph" w:customStyle="1" w:styleId="c">
    <w:name w:val="c"/>
    <w:basedOn w:val="Normal0"/>
    <w:rsid w:val="00D64698"/>
    <w:pPr>
      <w:ind w:firstLine="0"/>
      <w:jc w:val="center"/>
    </w:pPr>
  </w:style>
  <w:style w:type="paragraph" w:customStyle="1" w:styleId="figlgende">
    <w:name w:val="fig légende"/>
    <w:basedOn w:val="Normal0"/>
    <w:autoRedefine/>
    <w:rsid w:val="008C14C3"/>
    <w:pPr>
      <w:ind w:firstLine="0"/>
    </w:pPr>
    <w:rPr>
      <w:color w:val="000090"/>
      <w:sz w:val="24"/>
      <w:szCs w:val="16"/>
      <w:lang w:bidi="fr-FR"/>
    </w:rPr>
  </w:style>
  <w:style w:type="paragraph" w:customStyle="1" w:styleId="Titlest3">
    <w:name w:val="Title_st 3"/>
    <w:basedOn w:val="Titlest20"/>
    <w:rsid w:val="00FB1B47"/>
    <w:rPr>
      <w:i/>
      <w:sz w:val="48"/>
    </w:rPr>
  </w:style>
  <w:style w:type="paragraph" w:customStyle="1" w:styleId="fig">
    <w:name w:val="fig"/>
    <w:basedOn w:val="Normal"/>
    <w:autoRedefine/>
    <w:rsid w:val="00C96FB4"/>
    <w:pPr>
      <w:spacing w:before="120" w:after="120"/>
      <w:ind w:firstLine="0"/>
      <w:jc w:val="center"/>
    </w:pPr>
    <w:rPr>
      <w:sz w:val="24"/>
      <w:szCs w:val="24"/>
    </w:rPr>
  </w:style>
  <w:style w:type="character" w:customStyle="1" w:styleId="En-tte212ptNonGrasEspacement0pt">
    <w:name w:val="En-tête #2 + 12 pt;Non Gras;Espacement 0 pt"/>
    <w:basedOn w:val="Policepardfaut"/>
    <w:rsid w:val="00503E85"/>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Notedebasdepage0">
    <w:name w:val="Note de bas de page_"/>
    <w:link w:val="Notedebasdepage1"/>
    <w:rsid w:val="004373EF"/>
    <w:rPr>
      <w:rFonts w:ascii="Times New Roman" w:eastAsia="Times New Roman" w:hAnsi="Times New Roman"/>
      <w:sz w:val="18"/>
      <w:szCs w:val="18"/>
      <w:shd w:val="clear" w:color="auto" w:fill="FFFFFF"/>
    </w:rPr>
  </w:style>
  <w:style w:type="paragraph" w:customStyle="1" w:styleId="Notedebasdepage1">
    <w:name w:val="Note de bas de page1"/>
    <w:basedOn w:val="Normal"/>
    <w:link w:val="Notedebasdepage0"/>
    <w:rsid w:val="004373EF"/>
    <w:pPr>
      <w:widowControl w:val="0"/>
      <w:shd w:val="clear" w:color="auto" w:fill="FFFFFF"/>
      <w:spacing w:before="120" w:after="120" w:line="202" w:lineRule="exact"/>
      <w:ind w:hanging="571"/>
      <w:contextualSpacing/>
      <w:jc w:val="both"/>
    </w:pPr>
    <w:rPr>
      <w:sz w:val="18"/>
      <w:szCs w:val="18"/>
      <w:lang w:val="x-none" w:eastAsia="x-none"/>
    </w:rPr>
  </w:style>
  <w:style w:type="character" w:customStyle="1" w:styleId="NotedebasdepageItalique">
    <w:name w:val="Note de bas de page + Italique"/>
    <w:rsid w:val="004373EF"/>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Notedebasdepage2">
    <w:name w:val="Note de bas de page (2)_"/>
    <w:link w:val="Notedebasdepage20"/>
    <w:rsid w:val="004373EF"/>
    <w:rPr>
      <w:rFonts w:ascii="Times New Roman" w:eastAsia="Times New Roman" w:hAnsi="Times New Roman"/>
      <w:i/>
      <w:iCs/>
      <w:sz w:val="18"/>
      <w:szCs w:val="18"/>
      <w:shd w:val="clear" w:color="auto" w:fill="FFFFFF"/>
    </w:rPr>
  </w:style>
  <w:style w:type="paragraph" w:customStyle="1" w:styleId="Notedebasdepage20">
    <w:name w:val="Note de bas de page (2)"/>
    <w:basedOn w:val="Normal"/>
    <w:link w:val="Notedebasdepage2"/>
    <w:rsid w:val="004373EF"/>
    <w:pPr>
      <w:widowControl w:val="0"/>
      <w:shd w:val="clear" w:color="auto" w:fill="FFFFFF"/>
      <w:spacing w:before="120" w:after="120" w:line="0" w:lineRule="atLeast"/>
      <w:ind w:firstLine="47"/>
      <w:contextualSpacing/>
      <w:jc w:val="both"/>
    </w:pPr>
    <w:rPr>
      <w:i/>
      <w:iCs/>
      <w:sz w:val="18"/>
      <w:szCs w:val="18"/>
      <w:lang w:val="x-none" w:eastAsia="x-none"/>
    </w:rPr>
  </w:style>
  <w:style w:type="character" w:customStyle="1" w:styleId="Notedebasdepage2NonItalique">
    <w:name w:val="Note de bas de page (2) + Non Italique"/>
    <w:rsid w:val="004373EF"/>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Notedebasdepage85ptEspacement0pt">
    <w:name w:val="Note de bas de page + 8.5 pt;Espacement 0 pt"/>
    <w:rsid w:val="004373EF"/>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fr-FR" w:eastAsia="fr-FR" w:bidi="fr-FR"/>
    </w:rPr>
  </w:style>
  <w:style w:type="character" w:customStyle="1" w:styleId="Notedebasdepage8pt">
    <w:name w:val="Note de bas de page + 8 pt"/>
    <w:rsid w:val="004373EF"/>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paragraph" w:customStyle="1" w:styleId="b">
    <w:name w:val="b"/>
    <w:basedOn w:val="Normal"/>
    <w:autoRedefine/>
    <w:rsid w:val="00915E9D"/>
    <w:pPr>
      <w:spacing w:before="120" w:after="120"/>
      <w:ind w:firstLine="0"/>
      <w:contextualSpacing/>
    </w:pPr>
    <w:rPr>
      <w:i/>
      <w:color w:val="0000FF"/>
      <w:szCs w:val="28"/>
      <w:lang w:eastAsia="fr-FR" w:bidi="fr-FR"/>
    </w:rPr>
  </w:style>
  <w:style w:type="character" w:customStyle="1" w:styleId="En-tte1">
    <w:name w:val="En-tête #1_"/>
    <w:link w:val="En-tte10"/>
    <w:rsid w:val="004373EF"/>
    <w:rPr>
      <w:rFonts w:ascii="Times New Roman" w:eastAsia="Times New Roman" w:hAnsi="Times New Roman"/>
      <w:b/>
      <w:bCs/>
      <w:w w:val="60"/>
      <w:sz w:val="60"/>
      <w:szCs w:val="60"/>
      <w:shd w:val="clear" w:color="auto" w:fill="FFFFFF"/>
    </w:rPr>
  </w:style>
  <w:style w:type="paragraph" w:customStyle="1" w:styleId="En-tte10">
    <w:name w:val="En-tête #1"/>
    <w:basedOn w:val="Normal"/>
    <w:link w:val="En-tte1"/>
    <w:rsid w:val="004373EF"/>
    <w:pPr>
      <w:widowControl w:val="0"/>
      <w:shd w:val="clear" w:color="auto" w:fill="FFFFFF"/>
      <w:spacing w:before="120" w:after="300" w:line="562" w:lineRule="exact"/>
      <w:contextualSpacing/>
      <w:jc w:val="center"/>
      <w:outlineLvl w:val="0"/>
    </w:pPr>
    <w:rPr>
      <w:b/>
      <w:bCs/>
      <w:w w:val="60"/>
      <w:sz w:val="60"/>
      <w:szCs w:val="60"/>
      <w:lang w:val="x-none" w:eastAsia="x-none"/>
    </w:rPr>
  </w:style>
  <w:style w:type="paragraph" w:customStyle="1" w:styleId="Citation0">
    <w:name w:val="Citation 0"/>
    <w:basedOn w:val="Grillecouleur-Accent1"/>
    <w:autoRedefine/>
    <w:rsid w:val="00B603F4"/>
    <w:pPr>
      <w:spacing w:before="120" w:after="120"/>
      <w:ind w:firstLine="0"/>
    </w:pPr>
    <w:rPr>
      <w:szCs w:val="28"/>
      <w:lang w:eastAsia="fr-FR" w:bidi="fr-FR"/>
    </w:rPr>
  </w:style>
  <w:style w:type="character" w:customStyle="1" w:styleId="Corpsdutexte3Arial24ptGrasItaliqueEspacement-3ptchelle75">
    <w:name w:val="Corps du texte (3) + Arial;24 pt;Gras;Italique;Espacement -3 pt;Échelle 75%"/>
    <w:rsid w:val="004373EF"/>
    <w:rPr>
      <w:rFonts w:ascii="Arial" w:eastAsia="Arial" w:hAnsi="Arial" w:cs="Arial"/>
      <w:b/>
      <w:bCs/>
      <w:i/>
      <w:iCs/>
      <w:smallCaps w:val="0"/>
      <w:strike w:val="0"/>
      <w:color w:val="000000"/>
      <w:spacing w:val="-70"/>
      <w:w w:val="75"/>
      <w:position w:val="0"/>
      <w:sz w:val="48"/>
      <w:szCs w:val="48"/>
      <w:u w:val="none"/>
      <w:lang w:val="fr-FR" w:eastAsia="fr-FR" w:bidi="fr-FR"/>
    </w:rPr>
  </w:style>
  <w:style w:type="character" w:customStyle="1" w:styleId="contact-emailto">
    <w:name w:val="contact-emailto"/>
    <w:basedOn w:val="Policepardfaut"/>
    <w:rsid w:val="004373EF"/>
  </w:style>
  <w:style w:type="character" w:customStyle="1" w:styleId="Corpsdutexte211ptGras">
    <w:name w:val="Corps du texte (2) + 11 pt;Gras"/>
    <w:rsid w:val="004373EF"/>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paragraph" w:customStyle="1" w:styleId="figst">
    <w:name w:val="fig st"/>
    <w:basedOn w:val="Normal"/>
    <w:autoRedefine/>
    <w:rsid w:val="00E80E3C"/>
    <w:pPr>
      <w:spacing w:before="120" w:after="120"/>
      <w:ind w:firstLine="0"/>
      <w:contextualSpacing/>
      <w:jc w:val="center"/>
    </w:pPr>
    <w:rPr>
      <w:rFonts w:cs="Arial"/>
      <w:color w:val="000090"/>
      <w:sz w:val="24"/>
      <w:szCs w:val="16"/>
      <w:lang w:eastAsia="fr-FR" w:bidi="fr-FR"/>
    </w:rPr>
  </w:style>
  <w:style w:type="paragraph" w:customStyle="1" w:styleId="figtexte">
    <w:name w:val="fig texte"/>
    <w:basedOn w:val="Normal0"/>
    <w:autoRedefine/>
    <w:rsid w:val="004373EF"/>
    <w:pPr>
      <w:contextualSpacing/>
    </w:pPr>
    <w:rPr>
      <w:color w:val="000090"/>
      <w:sz w:val="24"/>
      <w:szCs w:val="28"/>
    </w:rPr>
  </w:style>
  <w:style w:type="paragraph" w:customStyle="1" w:styleId="figtextec">
    <w:name w:val="fig texte c"/>
    <w:basedOn w:val="figtexte"/>
    <w:autoRedefine/>
    <w:rsid w:val="004373EF"/>
    <w:pPr>
      <w:ind w:firstLine="0"/>
      <w:jc w:val="center"/>
    </w:pPr>
  </w:style>
  <w:style w:type="paragraph" w:customStyle="1" w:styleId="figtitre">
    <w:name w:val="fig titre"/>
    <w:basedOn w:val="Normal"/>
    <w:autoRedefine/>
    <w:rsid w:val="008C14C3"/>
    <w:pPr>
      <w:spacing w:before="120" w:after="120"/>
      <w:contextualSpacing/>
      <w:jc w:val="center"/>
    </w:pPr>
    <w:rPr>
      <w:rFonts w:cs="Arial"/>
      <w:b/>
      <w:bCs/>
      <w:color w:val="000000"/>
      <w:sz w:val="24"/>
      <w:szCs w:val="12"/>
      <w:lang w:eastAsia="fr-FR"/>
    </w:rPr>
  </w:style>
  <w:style w:type="paragraph" w:customStyle="1" w:styleId="Heading1">
    <w:name w:val="Heading #1"/>
    <w:basedOn w:val="Normal"/>
    <w:rsid w:val="004373EF"/>
    <w:pPr>
      <w:shd w:val="clear" w:color="auto" w:fill="FFFFFF"/>
      <w:spacing w:before="120" w:after="360" w:line="0" w:lineRule="atLeast"/>
      <w:contextualSpacing/>
      <w:jc w:val="center"/>
      <w:outlineLvl w:val="0"/>
    </w:pPr>
    <w:rPr>
      <w:b/>
      <w:bCs/>
      <w:color w:val="000000"/>
      <w:szCs w:val="28"/>
      <w:lang w:eastAsia="fr-FR"/>
    </w:rPr>
  </w:style>
  <w:style w:type="character" w:customStyle="1" w:styleId="En-tte2">
    <w:name w:val="En-tête #2_"/>
    <w:link w:val="En-tte20"/>
    <w:rsid w:val="004373EF"/>
    <w:rPr>
      <w:rFonts w:ascii="Times New Roman" w:eastAsia="Times New Roman" w:hAnsi="Times New Roman"/>
      <w:b/>
      <w:bCs/>
      <w:sz w:val="26"/>
      <w:szCs w:val="26"/>
      <w:shd w:val="clear" w:color="auto" w:fill="FFFFFF"/>
    </w:rPr>
  </w:style>
  <w:style w:type="paragraph" w:customStyle="1" w:styleId="En-tte20">
    <w:name w:val="En-tête #2"/>
    <w:basedOn w:val="Normal"/>
    <w:link w:val="En-tte2"/>
    <w:rsid w:val="004373EF"/>
    <w:pPr>
      <w:widowControl w:val="0"/>
      <w:shd w:val="clear" w:color="auto" w:fill="FFFFFF"/>
      <w:spacing w:before="120" w:after="1740" w:line="0" w:lineRule="atLeast"/>
      <w:contextualSpacing/>
      <w:jc w:val="center"/>
      <w:outlineLvl w:val="1"/>
    </w:pPr>
    <w:rPr>
      <w:b/>
      <w:bCs/>
      <w:sz w:val="26"/>
      <w:szCs w:val="26"/>
      <w:lang w:val="x-none" w:eastAsia="x-none"/>
    </w:rPr>
  </w:style>
  <w:style w:type="character" w:customStyle="1" w:styleId="TM2Car">
    <w:name w:val="TM 2 Car"/>
    <w:link w:val="TM2"/>
    <w:rsid w:val="004373EF"/>
    <w:rPr>
      <w:rFonts w:ascii="Times New Roman" w:eastAsia="Times New Roman" w:hAnsi="Times New Roman"/>
      <w:shd w:val="clear" w:color="auto" w:fill="FFFFFF"/>
    </w:rPr>
  </w:style>
  <w:style w:type="paragraph" w:styleId="TM2">
    <w:name w:val="toc 2"/>
    <w:basedOn w:val="Normal"/>
    <w:link w:val="TM2Car"/>
    <w:autoRedefine/>
    <w:rsid w:val="004373EF"/>
    <w:pPr>
      <w:widowControl w:val="0"/>
      <w:shd w:val="clear" w:color="auto" w:fill="FFFFFF"/>
      <w:spacing w:before="1740" w:after="240" w:line="0" w:lineRule="atLeast"/>
      <w:ind w:hanging="171"/>
      <w:contextualSpacing/>
      <w:jc w:val="both"/>
    </w:pPr>
    <w:rPr>
      <w:sz w:val="20"/>
      <w:lang w:val="x-none" w:eastAsia="x-none"/>
    </w:rPr>
  </w:style>
  <w:style w:type="character" w:customStyle="1" w:styleId="Tabledesmatires2">
    <w:name w:val="Table des matières (2)_"/>
    <w:link w:val="Tabledesmatires20"/>
    <w:rsid w:val="004373EF"/>
    <w:rPr>
      <w:rFonts w:ascii="Times New Roman" w:eastAsia="Times New Roman" w:hAnsi="Times New Roman"/>
      <w:i/>
      <w:iCs/>
      <w:shd w:val="clear" w:color="auto" w:fill="FFFFFF"/>
    </w:rPr>
  </w:style>
  <w:style w:type="paragraph" w:customStyle="1" w:styleId="Tabledesmatires20">
    <w:name w:val="Table des matières (2)"/>
    <w:basedOn w:val="Normal"/>
    <w:link w:val="Tabledesmatires2"/>
    <w:rsid w:val="004373EF"/>
    <w:pPr>
      <w:widowControl w:val="0"/>
      <w:shd w:val="clear" w:color="auto" w:fill="FFFFFF"/>
      <w:spacing w:before="120" w:after="300" w:line="0" w:lineRule="atLeast"/>
      <w:ind w:firstLine="0"/>
      <w:contextualSpacing/>
      <w:jc w:val="both"/>
    </w:pPr>
    <w:rPr>
      <w:i/>
      <w:iCs/>
      <w:sz w:val="20"/>
      <w:lang w:val="x-none" w:eastAsia="x-none"/>
    </w:rPr>
  </w:style>
  <w:style w:type="character" w:customStyle="1" w:styleId="Tabledesmatires2NonItalique">
    <w:name w:val="Table des matières (2) + Non Italique"/>
    <w:rsid w:val="004373E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TabledesmatiresItalique">
    <w:name w:val="Table des matières + Italique"/>
    <w:rsid w:val="004373EF"/>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En-tteoupieddepage">
    <w:name w:val="En-tête ou pied de page_"/>
    <w:rsid w:val="004373EF"/>
    <w:rPr>
      <w:rFonts w:ascii="Times New Roman" w:eastAsia="Times New Roman" w:hAnsi="Times New Roman" w:cs="Times New Roman"/>
      <w:b w:val="0"/>
      <w:bCs w:val="0"/>
      <w:i w:val="0"/>
      <w:iCs w:val="0"/>
      <w:smallCaps w:val="0"/>
      <w:strike w:val="0"/>
      <w:sz w:val="19"/>
      <w:szCs w:val="19"/>
      <w:u w:val="none"/>
    </w:rPr>
  </w:style>
  <w:style w:type="character" w:customStyle="1" w:styleId="En-tteoupieddepage0">
    <w:name w:val="En-tête ou pied de page"/>
    <w:rsid w:val="004373EF"/>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24TimesNewRoman85ptExact">
    <w:name w:val="Corps du texte (24) + Times New Roman;8.5 pt Exact"/>
    <w:rsid w:val="004373EF"/>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Corpsdutexte2210ptNonGras">
    <w:name w:val="Corps du texte (22) + 10 pt;Non Gras"/>
    <w:rsid w:val="004373EF"/>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style>
  <w:style w:type="paragraph" w:customStyle="1" w:styleId="Tableofcontents">
    <w:name w:val="Table of contents"/>
    <w:basedOn w:val="Normal"/>
    <w:rsid w:val="004373EF"/>
    <w:pPr>
      <w:widowControl w:val="0"/>
      <w:shd w:val="clear" w:color="auto" w:fill="FFFFFF"/>
      <w:spacing w:before="360" w:after="120" w:line="360" w:lineRule="exact"/>
      <w:ind w:hanging="6"/>
      <w:contextualSpacing/>
      <w:jc w:val="both"/>
    </w:pPr>
    <w:rPr>
      <w:color w:val="000000"/>
      <w:sz w:val="21"/>
      <w:szCs w:val="21"/>
      <w:lang w:val="fr-FR" w:eastAsia="fr-FR"/>
    </w:rPr>
  </w:style>
  <w:style w:type="paragraph" w:customStyle="1" w:styleId="Tableofcontents2">
    <w:name w:val="Table of contents (2)"/>
    <w:basedOn w:val="Normal"/>
    <w:rsid w:val="004373EF"/>
    <w:pPr>
      <w:widowControl w:val="0"/>
      <w:shd w:val="clear" w:color="auto" w:fill="FFFFFF"/>
      <w:spacing w:before="120" w:after="120" w:line="0" w:lineRule="atLeast"/>
      <w:ind w:firstLine="0"/>
      <w:contextualSpacing/>
      <w:jc w:val="center"/>
    </w:pPr>
    <w:rPr>
      <w:b/>
      <w:bCs/>
      <w:color w:val="000000"/>
      <w:sz w:val="21"/>
      <w:szCs w:val="21"/>
      <w:lang w:val="fr-FR" w:eastAsia="fr-FR"/>
    </w:rPr>
  </w:style>
  <w:style w:type="paragraph" w:customStyle="1" w:styleId="Tableofcontents3">
    <w:name w:val="Table of contents (3)"/>
    <w:basedOn w:val="Normal"/>
    <w:rsid w:val="004373EF"/>
    <w:pPr>
      <w:widowControl w:val="0"/>
      <w:shd w:val="clear" w:color="auto" w:fill="FFFFFF"/>
      <w:spacing w:before="120" w:after="120" w:line="240" w:lineRule="exact"/>
      <w:ind w:hanging="5"/>
      <w:contextualSpacing/>
      <w:jc w:val="both"/>
    </w:pPr>
    <w:rPr>
      <w:color w:val="000000"/>
      <w:sz w:val="22"/>
      <w:szCs w:val="22"/>
      <w:lang w:val="fr-FR" w:eastAsia="fr-FR"/>
    </w:rPr>
  </w:style>
  <w:style w:type="character" w:customStyle="1" w:styleId="TableofcontentsItalic">
    <w:name w:val="Table of contents + Italic"/>
    <w:rsid w:val="004373EF"/>
    <w:rPr>
      <w:rFonts w:ascii="Times New Roman" w:eastAsia="Times New Roman" w:hAnsi="Times New Roman"/>
      <w:i/>
      <w:iCs/>
      <w:color w:val="000000"/>
      <w:spacing w:val="0"/>
      <w:w w:val="100"/>
      <w:position w:val="0"/>
      <w:sz w:val="21"/>
      <w:szCs w:val="21"/>
      <w:shd w:val="clear" w:color="auto" w:fill="FFFFFF"/>
      <w:lang w:val="uz-Cyrl-UZ"/>
    </w:rPr>
  </w:style>
  <w:style w:type="paragraph" w:customStyle="1" w:styleId="Titlesti">
    <w:name w:val="Title_st i"/>
    <w:basedOn w:val="Titlest"/>
    <w:rsid w:val="004373EF"/>
    <w:pPr>
      <w:spacing w:before="120" w:after="120"/>
      <w:contextualSpacing/>
    </w:pPr>
    <w:rPr>
      <w:i/>
      <w:color w:val="000000"/>
      <w:sz w:val="72"/>
      <w:szCs w:val="28"/>
      <w:lang w:eastAsia="fr-FR"/>
    </w:rPr>
  </w:style>
  <w:style w:type="character" w:customStyle="1" w:styleId="En-tte4">
    <w:name w:val="En-tête #4_"/>
    <w:link w:val="En-tte40"/>
    <w:rsid w:val="006738A4"/>
    <w:rPr>
      <w:rFonts w:ascii="Times New Roman" w:eastAsia="Times New Roman" w:hAnsi="Times New Roman"/>
      <w:b/>
      <w:bCs/>
      <w:i/>
      <w:iCs/>
      <w:sz w:val="22"/>
      <w:szCs w:val="22"/>
      <w:shd w:val="clear" w:color="auto" w:fill="FFFFFF"/>
    </w:rPr>
  </w:style>
  <w:style w:type="paragraph" w:customStyle="1" w:styleId="En-tte40">
    <w:name w:val="En-tête #4"/>
    <w:basedOn w:val="Normal"/>
    <w:link w:val="En-tte4"/>
    <w:rsid w:val="006738A4"/>
    <w:pPr>
      <w:widowControl w:val="0"/>
      <w:shd w:val="clear" w:color="auto" w:fill="FFFFFF"/>
      <w:spacing w:before="600" w:after="780" w:line="0" w:lineRule="atLeast"/>
      <w:contextualSpacing/>
      <w:jc w:val="center"/>
      <w:outlineLvl w:val="3"/>
    </w:pPr>
    <w:rPr>
      <w:b/>
      <w:bCs/>
      <w:i/>
      <w:iCs/>
      <w:sz w:val="22"/>
      <w:szCs w:val="22"/>
      <w:lang w:val="x-none" w:eastAsia="x-none"/>
    </w:rPr>
  </w:style>
  <w:style w:type="character" w:customStyle="1" w:styleId="Lgendedutableau2">
    <w:name w:val="Légende du tableau (2)_"/>
    <w:link w:val="Lgendedutableau20"/>
    <w:rsid w:val="006738A4"/>
    <w:rPr>
      <w:rFonts w:ascii="Times New Roman" w:eastAsia="Times New Roman" w:hAnsi="Times New Roman"/>
      <w:b/>
      <w:bCs/>
      <w:sz w:val="19"/>
      <w:szCs w:val="19"/>
      <w:shd w:val="clear" w:color="auto" w:fill="FFFFFF"/>
    </w:rPr>
  </w:style>
  <w:style w:type="paragraph" w:customStyle="1" w:styleId="Lgendedutableau20">
    <w:name w:val="Légende du tableau (2)"/>
    <w:basedOn w:val="Normal"/>
    <w:link w:val="Lgendedutableau2"/>
    <w:rsid w:val="006738A4"/>
    <w:pPr>
      <w:widowControl w:val="0"/>
      <w:shd w:val="clear" w:color="auto" w:fill="FFFFFF"/>
      <w:spacing w:before="120" w:after="120" w:line="202" w:lineRule="exact"/>
      <w:contextualSpacing/>
      <w:jc w:val="center"/>
    </w:pPr>
    <w:rPr>
      <w:b/>
      <w:bCs/>
      <w:sz w:val="19"/>
      <w:szCs w:val="19"/>
      <w:lang w:val="x-none" w:eastAsia="x-none"/>
    </w:rPr>
  </w:style>
  <w:style w:type="character" w:customStyle="1" w:styleId="Lgendedutableau">
    <w:name w:val="Légende du tableau_"/>
    <w:link w:val="Lgendedutableau0"/>
    <w:rsid w:val="006738A4"/>
    <w:rPr>
      <w:rFonts w:ascii="Times New Roman" w:eastAsia="Times New Roman" w:hAnsi="Times New Roman"/>
      <w:sz w:val="15"/>
      <w:szCs w:val="15"/>
      <w:shd w:val="clear" w:color="auto" w:fill="FFFFFF"/>
    </w:rPr>
  </w:style>
  <w:style w:type="paragraph" w:customStyle="1" w:styleId="Lgendedutableau0">
    <w:name w:val="Légende du tableau"/>
    <w:basedOn w:val="Normal"/>
    <w:link w:val="Lgendedutableau"/>
    <w:rsid w:val="006738A4"/>
    <w:pPr>
      <w:widowControl w:val="0"/>
      <w:shd w:val="clear" w:color="auto" w:fill="FFFFFF"/>
      <w:spacing w:before="120" w:after="120" w:line="140" w:lineRule="exact"/>
      <w:ind w:firstLine="29"/>
      <w:contextualSpacing/>
      <w:jc w:val="both"/>
    </w:pPr>
    <w:rPr>
      <w:sz w:val="15"/>
      <w:szCs w:val="15"/>
      <w:lang w:val="x-none" w:eastAsia="x-none"/>
    </w:rPr>
  </w:style>
  <w:style w:type="character" w:customStyle="1" w:styleId="LgendedutableauItalique">
    <w:name w:val="Légende du tableau + Italique"/>
    <w:rsid w:val="006738A4"/>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275ptPetitesmajuscules">
    <w:name w:val="Corps du texte (2) + 7.5 pt;Petites majuscules"/>
    <w:rsid w:val="006738A4"/>
    <w:rPr>
      <w:rFonts w:ascii="Times New Roman" w:eastAsia="Times New Roman" w:hAnsi="Times New Roman" w:cs="Times New Roman"/>
      <w:b w:val="0"/>
      <w:bCs w:val="0"/>
      <w:i w:val="0"/>
      <w:iCs w:val="0"/>
      <w:smallCaps/>
      <w:strike w:val="0"/>
      <w:color w:val="000000"/>
      <w:spacing w:val="0"/>
      <w:w w:val="100"/>
      <w:position w:val="0"/>
      <w:sz w:val="15"/>
      <w:szCs w:val="15"/>
      <w:u w:val="none"/>
      <w:lang w:val="fr-FR" w:eastAsia="fr-FR" w:bidi="fr-FR"/>
    </w:rPr>
  </w:style>
  <w:style w:type="character" w:customStyle="1" w:styleId="LgendedutableauPetitesmajuscules">
    <w:name w:val="Légende du tableau + Petites majuscules"/>
    <w:rsid w:val="006738A4"/>
    <w:rPr>
      <w:rFonts w:ascii="Times New Roman" w:eastAsia="Times New Roman" w:hAnsi="Times New Roman" w:cs="Times New Roman"/>
      <w:b w:val="0"/>
      <w:bCs w:val="0"/>
      <w:i w:val="0"/>
      <w:iCs w:val="0"/>
      <w:smallCaps/>
      <w:strike w:val="0"/>
      <w:color w:val="000000"/>
      <w:spacing w:val="0"/>
      <w:w w:val="100"/>
      <w:position w:val="0"/>
      <w:sz w:val="15"/>
      <w:szCs w:val="15"/>
      <w:u w:val="none"/>
      <w:lang w:val="fr-FR" w:eastAsia="fr-FR" w:bidi="fr-FR"/>
    </w:rPr>
  </w:style>
  <w:style w:type="character" w:customStyle="1" w:styleId="En-tte3">
    <w:name w:val="En-tête #3_"/>
    <w:link w:val="En-tte30"/>
    <w:rsid w:val="006738A4"/>
    <w:rPr>
      <w:rFonts w:ascii="Times New Roman" w:eastAsia="Times New Roman" w:hAnsi="Times New Roman"/>
      <w:b/>
      <w:bCs/>
      <w:sz w:val="26"/>
      <w:szCs w:val="26"/>
      <w:shd w:val="clear" w:color="auto" w:fill="FFFFFF"/>
    </w:rPr>
  </w:style>
  <w:style w:type="paragraph" w:customStyle="1" w:styleId="En-tte30">
    <w:name w:val="En-tête #3"/>
    <w:basedOn w:val="Normal"/>
    <w:link w:val="En-tte3"/>
    <w:rsid w:val="006738A4"/>
    <w:pPr>
      <w:widowControl w:val="0"/>
      <w:shd w:val="clear" w:color="auto" w:fill="FFFFFF"/>
      <w:spacing w:before="120" w:after="600" w:line="306" w:lineRule="exact"/>
      <w:contextualSpacing/>
      <w:jc w:val="center"/>
      <w:outlineLvl w:val="2"/>
    </w:pPr>
    <w:rPr>
      <w:b/>
      <w:bCs/>
      <w:sz w:val="26"/>
      <w:szCs w:val="26"/>
      <w:lang w:val="x-none" w:eastAsia="x-none"/>
    </w:rPr>
  </w:style>
  <w:style w:type="character" w:customStyle="1" w:styleId="En-tte32">
    <w:name w:val="En-tête #3 (2)_"/>
    <w:link w:val="En-tte320"/>
    <w:rsid w:val="006738A4"/>
    <w:rPr>
      <w:rFonts w:ascii="Times New Roman" w:eastAsia="Times New Roman" w:hAnsi="Times New Roman"/>
      <w:b/>
      <w:bCs/>
      <w:sz w:val="28"/>
      <w:szCs w:val="28"/>
      <w:shd w:val="clear" w:color="auto" w:fill="FFFFFF"/>
    </w:rPr>
  </w:style>
  <w:style w:type="paragraph" w:customStyle="1" w:styleId="En-tte320">
    <w:name w:val="En-tête #3 (2)"/>
    <w:basedOn w:val="Normal"/>
    <w:link w:val="En-tte32"/>
    <w:rsid w:val="006738A4"/>
    <w:pPr>
      <w:widowControl w:val="0"/>
      <w:shd w:val="clear" w:color="auto" w:fill="FFFFFF"/>
      <w:spacing w:before="120" w:after="1920" w:line="0" w:lineRule="atLeast"/>
      <w:contextualSpacing/>
      <w:jc w:val="right"/>
      <w:outlineLvl w:val="2"/>
    </w:pPr>
    <w:rPr>
      <w:b/>
      <w:bCs/>
      <w:szCs w:val="28"/>
      <w:lang w:val="x-none" w:eastAsia="x-none"/>
    </w:rPr>
  </w:style>
  <w:style w:type="character" w:customStyle="1" w:styleId="Lgendedelimage2Exact">
    <w:name w:val="Légende de l'image (2) Exact"/>
    <w:link w:val="Lgendedelimage2"/>
    <w:rsid w:val="006738A4"/>
    <w:rPr>
      <w:rFonts w:ascii="Times New Roman" w:eastAsia="Times New Roman" w:hAnsi="Times New Roman"/>
      <w:i/>
      <w:iCs/>
      <w:sz w:val="18"/>
      <w:szCs w:val="18"/>
      <w:shd w:val="clear" w:color="auto" w:fill="FFFFFF"/>
    </w:rPr>
  </w:style>
  <w:style w:type="paragraph" w:customStyle="1" w:styleId="Lgendedelimage2">
    <w:name w:val="Légende de l'image (2)"/>
    <w:basedOn w:val="Normal"/>
    <w:link w:val="Lgendedelimage2Exact"/>
    <w:rsid w:val="006738A4"/>
    <w:pPr>
      <w:widowControl w:val="0"/>
      <w:shd w:val="clear" w:color="auto" w:fill="FFFFFF"/>
      <w:spacing w:before="120" w:after="120" w:line="0" w:lineRule="atLeast"/>
      <w:ind w:firstLine="29"/>
      <w:contextualSpacing/>
    </w:pPr>
    <w:rPr>
      <w:i/>
      <w:iCs/>
      <w:sz w:val="18"/>
      <w:szCs w:val="18"/>
      <w:lang w:val="x-none" w:eastAsia="x-none"/>
    </w:rPr>
  </w:style>
  <w:style w:type="character" w:customStyle="1" w:styleId="Lgendedelimage2NonItaliqueExact">
    <w:name w:val="Légende de l'image (2) + Non Italique Exact"/>
    <w:rsid w:val="006738A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En-tteoupieddepage4">
    <w:name w:val="En-tête ou pied de page (4)"/>
    <w:rsid w:val="006738A4"/>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Lgendedelimage">
    <w:name w:val="Légende de l'image_"/>
    <w:link w:val="Lgendedelimage0"/>
    <w:rsid w:val="006738A4"/>
    <w:rPr>
      <w:rFonts w:ascii="Times New Roman" w:eastAsia="Times New Roman" w:hAnsi="Times New Roman"/>
      <w:b/>
      <w:bCs/>
      <w:sz w:val="19"/>
      <w:szCs w:val="19"/>
      <w:shd w:val="clear" w:color="auto" w:fill="FFFFFF"/>
    </w:rPr>
  </w:style>
  <w:style w:type="paragraph" w:customStyle="1" w:styleId="Lgendedelimage0">
    <w:name w:val="Légende de l'image"/>
    <w:basedOn w:val="Normal"/>
    <w:link w:val="Lgendedelimage"/>
    <w:rsid w:val="006738A4"/>
    <w:pPr>
      <w:widowControl w:val="0"/>
      <w:shd w:val="clear" w:color="auto" w:fill="FFFFFF"/>
      <w:spacing w:before="120" w:after="120" w:line="223" w:lineRule="exact"/>
      <w:contextualSpacing/>
      <w:jc w:val="center"/>
    </w:pPr>
    <w:rPr>
      <w:b/>
      <w:bCs/>
      <w:sz w:val="19"/>
      <w:szCs w:val="19"/>
      <w:lang w:val="x-none" w:eastAsia="x-none"/>
    </w:rPr>
  </w:style>
  <w:style w:type="character" w:customStyle="1" w:styleId="Lgendedelimage3">
    <w:name w:val="Légende de l'image (3)_"/>
    <w:link w:val="Lgendedelimage30"/>
    <w:rsid w:val="006738A4"/>
    <w:rPr>
      <w:rFonts w:ascii="Times New Roman" w:eastAsia="Times New Roman" w:hAnsi="Times New Roman"/>
      <w:sz w:val="18"/>
      <w:szCs w:val="18"/>
      <w:shd w:val="clear" w:color="auto" w:fill="FFFFFF"/>
    </w:rPr>
  </w:style>
  <w:style w:type="paragraph" w:customStyle="1" w:styleId="Lgendedelimage30">
    <w:name w:val="Légende de l'image (3)"/>
    <w:basedOn w:val="Normal"/>
    <w:link w:val="Lgendedelimage3"/>
    <w:rsid w:val="006738A4"/>
    <w:pPr>
      <w:widowControl w:val="0"/>
      <w:shd w:val="clear" w:color="auto" w:fill="FFFFFF"/>
      <w:spacing w:before="120" w:after="120" w:line="0" w:lineRule="atLeast"/>
      <w:ind w:firstLine="29"/>
      <w:contextualSpacing/>
    </w:pPr>
    <w:rPr>
      <w:sz w:val="18"/>
      <w:szCs w:val="18"/>
      <w:lang w:val="x-none" w:eastAsia="x-none"/>
    </w:rPr>
  </w:style>
  <w:style w:type="character" w:customStyle="1" w:styleId="Lgendedelimage3Italique">
    <w:name w:val="Légende de l'image (3) + Italique"/>
    <w:rsid w:val="006738A4"/>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LgendedelimageExact">
    <w:name w:val="Légende de l'image Exact"/>
    <w:rsid w:val="006738A4"/>
    <w:rPr>
      <w:rFonts w:ascii="Times New Roman" w:eastAsia="Times New Roman" w:hAnsi="Times New Roman" w:cs="Times New Roman"/>
      <w:b/>
      <w:bCs/>
      <w:i w:val="0"/>
      <w:iCs w:val="0"/>
      <w:smallCaps w:val="0"/>
      <w:strike w:val="0"/>
      <w:sz w:val="19"/>
      <w:szCs w:val="19"/>
      <w:u w:val="none"/>
    </w:rPr>
  </w:style>
  <w:style w:type="character" w:customStyle="1" w:styleId="En-tteoupieddepage5TimesNewRoman105pt">
    <w:name w:val="En-tête ou pied de page (5) + Times New Roman;10.5 pt"/>
    <w:rsid w:val="006738A4"/>
    <w:rPr>
      <w:rFonts w:ascii="Times New Roman" w:eastAsia="Times New Roman" w:hAnsi="Times New Roman" w:cs="Times New Roman"/>
      <w:b w:val="0"/>
      <w:bCs w:val="0"/>
      <w:i w:val="0"/>
      <w:iCs w:val="0"/>
      <w:smallCaps w:val="0"/>
      <w:strike w:val="0"/>
      <w:sz w:val="21"/>
      <w:szCs w:val="21"/>
      <w:u w:val="none"/>
    </w:rPr>
  </w:style>
  <w:style w:type="character" w:customStyle="1" w:styleId="En-tteoupieddepage5">
    <w:name w:val="En-tête ou pied de page (5)"/>
    <w:rsid w:val="006738A4"/>
    <w:rPr>
      <w:rFonts w:ascii="Arial" w:eastAsia="Arial" w:hAnsi="Arial" w:cs="Arial"/>
      <w:b w:val="0"/>
      <w:bCs w:val="0"/>
      <w:i w:val="0"/>
      <w:iCs w:val="0"/>
      <w:smallCaps w:val="0"/>
      <w:strike w:val="0"/>
      <w:sz w:val="18"/>
      <w:szCs w:val="18"/>
      <w:u w:val="none"/>
    </w:rPr>
  </w:style>
  <w:style w:type="character" w:customStyle="1" w:styleId="Lgendedutableau3">
    <w:name w:val="Légende du tableau (3)_"/>
    <w:link w:val="Lgendedutableau30"/>
    <w:rsid w:val="006738A4"/>
    <w:rPr>
      <w:rFonts w:ascii="Times New Roman" w:eastAsia="Times New Roman" w:hAnsi="Times New Roman"/>
      <w:sz w:val="18"/>
      <w:szCs w:val="18"/>
      <w:shd w:val="clear" w:color="auto" w:fill="FFFFFF"/>
    </w:rPr>
  </w:style>
  <w:style w:type="paragraph" w:customStyle="1" w:styleId="Lgendedutableau30">
    <w:name w:val="Légende du tableau (3)"/>
    <w:basedOn w:val="Normal"/>
    <w:link w:val="Lgendedutableau3"/>
    <w:rsid w:val="006738A4"/>
    <w:pPr>
      <w:widowControl w:val="0"/>
      <w:shd w:val="clear" w:color="auto" w:fill="FFFFFF"/>
      <w:spacing w:before="120" w:after="120" w:line="0" w:lineRule="atLeast"/>
      <w:ind w:firstLine="29"/>
      <w:contextualSpacing/>
    </w:pPr>
    <w:rPr>
      <w:sz w:val="18"/>
      <w:szCs w:val="18"/>
      <w:lang w:val="x-none" w:eastAsia="x-none"/>
    </w:rPr>
  </w:style>
  <w:style w:type="character" w:customStyle="1" w:styleId="Lgendedutableau3Italique">
    <w:name w:val="Légende du tableau (3) + Italique"/>
    <w:rsid w:val="006738A4"/>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En-tteoupieddepage2">
    <w:name w:val="En-tête ou pied de page (2)_"/>
    <w:link w:val="En-tteoupieddepage20"/>
    <w:rsid w:val="0039149F"/>
    <w:rPr>
      <w:rFonts w:ascii="Times New Roman" w:eastAsia="Times New Roman" w:hAnsi="Times New Roman"/>
      <w:sz w:val="19"/>
      <w:szCs w:val="19"/>
      <w:shd w:val="clear" w:color="auto" w:fill="FFFFFF"/>
    </w:rPr>
  </w:style>
  <w:style w:type="paragraph" w:customStyle="1" w:styleId="En-tteoupieddepage20">
    <w:name w:val="En-tête ou pied de page (2)"/>
    <w:basedOn w:val="Normal"/>
    <w:link w:val="En-tteoupieddepage2"/>
    <w:rsid w:val="0039149F"/>
    <w:pPr>
      <w:widowControl w:val="0"/>
      <w:shd w:val="clear" w:color="auto" w:fill="FFFFFF"/>
      <w:spacing w:before="120" w:after="120" w:line="0" w:lineRule="atLeast"/>
      <w:ind w:firstLine="29"/>
      <w:contextualSpacing/>
    </w:pPr>
    <w:rPr>
      <w:sz w:val="19"/>
      <w:szCs w:val="19"/>
      <w:lang w:val="x-none" w:eastAsia="x-none"/>
    </w:rPr>
  </w:style>
  <w:style w:type="character" w:customStyle="1" w:styleId="Lgendedutableau2Italique">
    <w:name w:val="Légende du tableau (2) + Italique"/>
    <w:rsid w:val="0039149F"/>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Lgendedutableau10ptNonGras">
    <w:name w:val="Légende du tableau + 10 pt;Non Gras"/>
    <w:rsid w:val="0039149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Lgendedelimage5Exact">
    <w:name w:val="Légende de l'image (5) Exact"/>
    <w:link w:val="Lgendedelimage5"/>
    <w:rsid w:val="0039149F"/>
    <w:rPr>
      <w:rFonts w:ascii="Times New Roman" w:eastAsia="Times New Roman" w:hAnsi="Times New Roman"/>
      <w:sz w:val="18"/>
      <w:szCs w:val="18"/>
      <w:shd w:val="clear" w:color="auto" w:fill="FFFFFF"/>
    </w:rPr>
  </w:style>
  <w:style w:type="paragraph" w:customStyle="1" w:styleId="Lgendedelimage5">
    <w:name w:val="Légende de l'image (5)"/>
    <w:basedOn w:val="Normal"/>
    <w:link w:val="Lgendedelimage5Exact"/>
    <w:rsid w:val="0039149F"/>
    <w:pPr>
      <w:widowControl w:val="0"/>
      <w:shd w:val="clear" w:color="auto" w:fill="FFFFFF"/>
      <w:spacing w:before="120" w:after="120" w:line="0" w:lineRule="atLeast"/>
      <w:ind w:firstLine="8"/>
      <w:contextualSpacing/>
    </w:pPr>
    <w:rPr>
      <w:sz w:val="18"/>
      <w:szCs w:val="18"/>
      <w:lang w:val="x-none" w:eastAsia="x-none"/>
    </w:rPr>
  </w:style>
  <w:style w:type="character" w:customStyle="1" w:styleId="En-tte1Exact">
    <w:name w:val="En-tête #1 Exact"/>
    <w:rsid w:val="0039149F"/>
    <w:rPr>
      <w:rFonts w:ascii="Times New Roman" w:eastAsia="Times New Roman" w:hAnsi="Times New Roman" w:cs="Times New Roman"/>
      <w:b w:val="0"/>
      <w:bCs w:val="0"/>
      <w:i/>
      <w:iCs/>
      <w:smallCaps w:val="0"/>
      <w:strike w:val="0"/>
      <w:spacing w:val="40"/>
      <w:sz w:val="48"/>
      <w:szCs w:val="48"/>
      <w:u w:val="none"/>
    </w:rPr>
  </w:style>
  <w:style w:type="character" w:customStyle="1" w:styleId="Lgendedutableau105ptNonGrasItaliquechelle75">
    <w:name w:val="Légende du tableau + 10.5 pt;Non Gras;Italique;Échelle 75%"/>
    <w:rsid w:val="0039149F"/>
    <w:rPr>
      <w:rFonts w:ascii="Times New Roman" w:eastAsia="Times New Roman" w:hAnsi="Times New Roman" w:cs="Times New Roman"/>
      <w:b w:val="0"/>
      <w:bCs w:val="0"/>
      <w:i/>
      <w:iCs/>
      <w:smallCaps w:val="0"/>
      <w:strike w:val="0"/>
      <w:color w:val="000000"/>
      <w:spacing w:val="0"/>
      <w:w w:val="75"/>
      <w:position w:val="0"/>
      <w:sz w:val="21"/>
      <w:szCs w:val="21"/>
      <w:u w:val="none"/>
      <w:lang w:val="fr-FR" w:eastAsia="fr-FR" w:bidi="fr-FR"/>
    </w:rPr>
  </w:style>
  <w:style w:type="character" w:customStyle="1" w:styleId="En-tteoupieddepage95pt">
    <w:name w:val="En-tête ou pied de page + 9.5 pt"/>
    <w:rsid w:val="0039149F"/>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29ptGrasEspacement1pt">
    <w:name w:val="Corps du texte (2) + 9 pt;Gras;Espacement 1 pt"/>
    <w:rsid w:val="0039149F"/>
    <w:rPr>
      <w:rFonts w:ascii="Times New Roman" w:eastAsia="Times New Roman" w:hAnsi="Times New Roman" w:cs="Times New Roman"/>
      <w:b/>
      <w:bCs/>
      <w:i w:val="0"/>
      <w:iCs w:val="0"/>
      <w:smallCaps w:val="0"/>
      <w:strike w:val="0"/>
      <w:color w:val="000000"/>
      <w:spacing w:val="30"/>
      <w:w w:val="100"/>
      <w:position w:val="0"/>
      <w:sz w:val="18"/>
      <w:szCs w:val="18"/>
      <w:u w:val="none"/>
      <w:lang w:val="fr-FR" w:eastAsia="fr-FR" w:bidi="fr-FR"/>
    </w:rPr>
  </w:style>
  <w:style w:type="character" w:customStyle="1" w:styleId="Corpsdutexte29ptPetitesmajuscules">
    <w:name w:val="Corps du texte (2) + 9 pt;Petites majuscules"/>
    <w:rsid w:val="0039149F"/>
    <w:rPr>
      <w:rFonts w:ascii="Times New Roman" w:eastAsia="Times New Roman" w:hAnsi="Times New Roman" w:cs="Times New Roman"/>
      <w:b w:val="0"/>
      <w:bCs w:val="0"/>
      <w:i w:val="0"/>
      <w:iCs w:val="0"/>
      <w:smallCaps/>
      <w:strike w:val="0"/>
      <w:color w:val="000000"/>
      <w:spacing w:val="0"/>
      <w:w w:val="100"/>
      <w:position w:val="0"/>
      <w:sz w:val="18"/>
      <w:szCs w:val="18"/>
      <w:u w:val="none"/>
      <w:lang w:val="fr-FR" w:eastAsia="fr-FR" w:bidi="fr-FR"/>
    </w:rPr>
  </w:style>
  <w:style w:type="character" w:customStyle="1" w:styleId="Corpsdutexte29ptItalique">
    <w:name w:val="Corps du texte (2) + 9 pt;Italique"/>
    <w:rsid w:val="0039149F"/>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Lgendedelimage4Exact">
    <w:name w:val="Légende de l'image (4) Exact"/>
    <w:link w:val="Lgendedelimage4"/>
    <w:rsid w:val="0039149F"/>
    <w:rPr>
      <w:rFonts w:ascii="Times New Roman" w:eastAsia="Times New Roman" w:hAnsi="Times New Roman"/>
      <w:sz w:val="15"/>
      <w:szCs w:val="15"/>
      <w:shd w:val="clear" w:color="auto" w:fill="FFFFFF"/>
    </w:rPr>
  </w:style>
  <w:style w:type="paragraph" w:customStyle="1" w:styleId="Lgendedelimage4">
    <w:name w:val="Légende de l'image (4)"/>
    <w:basedOn w:val="Normal"/>
    <w:link w:val="Lgendedelimage4Exact"/>
    <w:rsid w:val="0039149F"/>
    <w:pPr>
      <w:widowControl w:val="0"/>
      <w:shd w:val="clear" w:color="auto" w:fill="FFFFFF"/>
      <w:spacing w:before="120" w:after="120" w:line="0" w:lineRule="atLeast"/>
      <w:ind w:firstLine="54"/>
      <w:contextualSpacing/>
    </w:pPr>
    <w:rPr>
      <w:sz w:val="15"/>
      <w:szCs w:val="15"/>
      <w:lang w:val="x-none" w:eastAsia="x-none"/>
    </w:rPr>
  </w:style>
  <w:style w:type="character" w:customStyle="1" w:styleId="En-tteoupieddepage3Espacement1pt">
    <w:name w:val="En-tête ou pied de page (3) + Espacement 1 pt"/>
    <w:rsid w:val="0039149F"/>
    <w:rPr>
      <w:rFonts w:ascii="Times New Roman" w:eastAsia="Times New Roman" w:hAnsi="Times New Roman" w:cs="Times New Roman"/>
      <w:b w:val="0"/>
      <w:bCs w:val="0"/>
      <w:i w:val="0"/>
      <w:iCs w:val="0"/>
      <w:smallCaps w:val="0"/>
      <w:strike w:val="0"/>
      <w:spacing w:val="20"/>
      <w:sz w:val="18"/>
      <w:szCs w:val="18"/>
      <w:u w:val="none"/>
    </w:rPr>
  </w:style>
  <w:style w:type="character" w:customStyle="1" w:styleId="En-tteoupieddepage3">
    <w:name w:val="En-tête ou pied de page (3)"/>
    <w:rsid w:val="0039149F"/>
    <w:rPr>
      <w:rFonts w:ascii="Times New Roman" w:eastAsia="Times New Roman" w:hAnsi="Times New Roman" w:cs="Times New Roman"/>
      <w:b w:val="0"/>
      <w:bCs w:val="0"/>
      <w:i w:val="0"/>
      <w:iCs w:val="0"/>
      <w:smallCaps w:val="0"/>
      <w:strike w:val="0"/>
      <w:sz w:val="18"/>
      <w:szCs w:val="18"/>
      <w:u w:val="none"/>
    </w:rPr>
  </w:style>
  <w:style w:type="character" w:customStyle="1" w:styleId="En-tte2AppleMyungjo13ptItaliqueEspacement0pt">
    <w:name w:val="En-tête #2 + AppleMyungjo;13 pt;Italique;Espacement 0 pt"/>
    <w:rsid w:val="0039149F"/>
    <w:rPr>
      <w:rFonts w:ascii="AppleMyungjo" w:eastAsia="AppleMyungjo" w:hAnsi="AppleMyungjo" w:cs="AppleMyungjo"/>
      <w:b w:val="0"/>
      <w:bCs w:val="0"/>
      <w:i/>
      <w:iCs/>
      <w:smallCaps w:val="0"/>
      <w:strike w:val="0"/>
      <w:color w:val="000000"/>
      <w:spacing w:val="0"/>
      <w:w w:val="100"/>
      <w:position w:val="0"/>
      <w:sz w:val="26"/>
      <w:szCs w:val="26"/>
      <w:u w:val="none"/>
      <w:lang w:val="fr-FR" w:eastAsia="fr-FR" w:bidi="fr-FR"/>
    </w:rPr>
  </w:style>
  <w:style w:type="character" w:customStyle="1" w:styleId="Corpsdutexte820ptEspacement0pt">
    <w:name w:val="Corps du texte (8) + 20 pt;Espacement 0 pt"/>
    <w:rsid w:val="0031676F"/>
    <w:rPr>
      <w:rFonts w:ascii="Times New Roman" w:eastAsia="Times New Roman" w:hAnsi="Times New Roman" w:cs="Times New Roman"/>
      <w:b/>
      <w:bCs/>
      <w:i w:val="0"/>
      <w:iCs w:val="0"/>
      <w:smallCaps w:val="0"/>
      <w:strike w:val="0"/>
      <w:color w:val="000000"/>
      <w:spacing w:val="-10"/>
      <w:w w:val="100"/>
      <w:position w:val="0"/>
      <w:sz w:val="40"/>
      <w:szCs w:val="40"/>
      <w:u w:val="none"/>
      <w:lang w:val="fr-FR" w:eastAsia="fr-FR" w:bidi="fr-FR"/>
    </w:rPr>
  </w:style>
  <w:style w:type="character" w:customStyle="1" w:styleId="Notedebasdepage2Italique">
    <w:name w:val="Note de bas de page (2) + Italique"/>
    <w:rsid w:val="0050233F"/>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Notedebasdepage3">
    <w:name w:val="Note de bas de page (3)_"/>
    <w:link w:val="Notedebasdepage30"/>
    <w:rsid w:val="0050233F"/>
    <w:rPr>
      <w:rFonts w:ascii="Times New Roman" w:eastAsia="Times New Roman" w:hAnsi="Times New Roman"/>
      <w:i/>
      <w:iCs/>
      <w:sz w:val="18"/>
      <w:szCs w:val="18"/>
      <w:shd w:val="clear" w:color="auto" w:fill="FFFFFF"/>
    </w:rPr>
  </w:style>
  <w:style w:type="paragraph" w:customStyle="1" w:styleId="Notedebasdepage30">
    <w:name w:val="Note de bas de page (3)"/>
    <w:basedOn w:val="Normal"/>
    <w:link w:val="Notedebasdepage3"/>
    <w:rsid w:val="0050233F"/>
    <w:pPr>
      <w:widowControl w:val="0"/>
      <w:shd w:val="clear" w:color="auto" w:fill="FFFFFF"/>
      <w:spacing w:before="120" w:after="120" w:line="202" w:lineRule="exact"/>
      <w:ind w:hanging="560"/>
      <w:contextualSpacing/>
      <w:jc w:val="both"/>
    </w:pPr>
    <w:rPr>
      <w:i/>
      <w:iCs/>
      <w:sz w:val="18"/>
      <w:szCs w:val="18"/>
      <w:lang w:val="x-none" w:eastAsia="x-none"/>
    </w:rPr>
  </w:style>
  <w:style w:type="character" w:customStyle="1" w:styleId="Notedebasdepage3NonItalique">
    <w:name w:val="Note de bas de page (3) + Non Italique"/>
    <w:rsid w:val="0050233F"/>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En-tteoupieddepage10ptNonItalique">
    <w:name w:val="En-tête ou pied de page + 10 pt;Non Italique"/>
    <w:rsid w:val="0050233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En-tte36Exact">
    <w:name w:val="En-tête #3 (6) Exact"/>
    <w:rsid w:val="0050233F"/>
    <w:rPr>
      <w:rFonts w:ascii="Times New Roman" w:eastAsia="Times New Roman" w:hAnsi="Times New Roman" w:cs="Times New Roman"/>
      <w:b w:val="0"/>
      <w:bCs w:val="0"/>
      <w:i w:val="0"/>
      <w:iCs w:val="0"/>
      <w:smallCaps w:val="0"/>
      <w:strike w:val="0"/>
      <w:sz w:val="21"/>
      <w:szCs w:val="21"/>
      <w:u w:val="none"/>
    </w:rPr>
  </w:style>
  <w:style w:type="character" w:customStyle="1" w:styleId="Tabledesmatires6Exact">
    <w:name w:val="Table des matières (6) Exact"/>
    <w:link w:val="Tabledesmatires6"/>
    <w:rsid w:val="0050233F"/>
    <w:rPr>
      <w:rFonts w:ascii="Times New Roman" w:eastAsia="Times New Roman" w:hAnsi="Times New Roman"/>
      <w:sz w:val="15"/>
      <w:szCs w:val="15"/>
      <w:shd w:val="clear" w:color="auto" w:fill="FFFFFF"/>
    </w:rPr>
  </w:style>
  <w:style w:type="paragraph" w:customStyle="1" w:styleId="Tabledesmatires6">
    <w:name w:val="Table des matières (6)"/>
    <w:basedOn w:val="Normal"/>
    <w:link w:val="Tabledesmatires6Exact"/>
    <w:rsid w:val="0050233F"/>
    <w:pPr>
      <w:widowControl w:val="0"/>
      <w:shd w:val="clear" w:color="auto" w:fill="FFFFFF"/>
      <w:spacing w:before="180" w:after="120" w:line="140" w:lineRule="exact"/>
      <w:ind w:hanging="6"/>
      <w:contextualSpacing/>
      <w:jc w:val="both"/>
    </w:pPr>
    <w:rPr>
      <w:sz w:val="15"/>
      <w:szCs w:val="15"/>
      <w:lang w:val="x-none" w:eastAsia="x-none"/>
    </w:rPr>
  </w:style>
  <w:style w:type="character" w:customStyle="1" w:styleId="En-tte36">
    <w:name w:val="En-tête #3 (6)_"/>
    <w:link w:val="En-tte360"/>
    <w:rsid w:val="0050233F"/>
    <w:rPr>
      <w:rFonts w:ascii="Times New Roman" w:eastAsia="Times New Roman" w:hAnsi="Times New Roman"/>
      <w:sz w:val="21"/>
      <w:szCs w:val="21"/>
      <w:shd w:val="clear" w:color="auto" w:fill="FFFFFF"/>
    </w:rPr>
  </w:style>
  <w:style w:type="paragraph" w:customStyle="1" w:styleId="En-tte360">
    <w:name w:val="En-tête #3 (6)"/>
    <w:basedOn w:val="Normal"/>
    <w:link w:val="En-tte36"/>
    <w:rsid w:val="0050233F"/>
    <w:pPr>
      <w:widowControl w:val="0"/>
      <w:shd w:val="clear" w:color="auto" w:fill="FFFFFF"/>
      <w:spacing w:before="120" w:after="60" w:line="0" w:lineRule="atLeast"/>
      <w:contextualSpacing/>
      <w:jc w:val="center"/>
      <w:outlineLvl w:val="2"/>
    </w:pPr>
    <w:rPr>
      <w:sz w:val="21"/>
      <w:szCs w:val="21"/>
      <w:lang w:val="x-none" w:eastAsia="x-none"/>
    </w:rPr>
  </w:style>
  <w:style w:type="paragraph" w:customStyle="1" w:styleId="Corpsdutexte12">
    <w:name w:val="Corps du texte (12)"/>
    <w:basedOn w:val="Normal"/>
    <w:rsid w:val="0050233F"/>
    <w:pPr>
      <w:shd w:val="clear" w:color="auto" w:fill="FFFFFF"/>
      <w:spacing w:before="120" w:after="120" w:line="133" w:lineRule="exact"/>
      <w:ind w:hanging="2"/>
      <w:contextualSpacing/>
      <w:jc w:val="both"/>
    </w:pPr>
    <w:rPr>
      <w:color w:val="000000"/>
      <w:sz w:val="15"/>
      <w:szCs w:val="15"/>
      <w:lang w:eastAsia="fr-FR"/>
    </w:rPr>
  </w:style>
  <w:style w:type="character" w:customStyle="1" w:styleId="Tabledesmatires3">
    <w:name w:val="Table des matières (3)_"/>
    <w:rsid w:val="0050233F"/>
    <w:rPr>
      <w:rFonts w:ascii="Times New Roman" w:eastAsia="Times New Roman" w:hAnsi="Times New Roman" w:cs="Times New Roman"/>
      <w:b w:val="0"/>
      <w:bCs w:val="0"/>
      <w:i w:val="0"/>
      <w:iCs w:val="0"/>
      <w:smallCaps w:val="0"/>
      <w:strike w:val="0"/>
      <w:sz w:val="18"/>
      <w:szCs w:val="18"/>
      <w:u w:val="none"/>
    </w:rPr>
  </w:style>
  <w:style w:type="character" w:customStyle="1" w:styleId="Tabledesmatires385ptEspacement0pt">
    <w:name w:val="Table des matières (3) + 8.5 pt;Espacement 0 pt"/>
    <w:rsid w:val="0050233F"/>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fr-FR" w:eastAsia="fr-FR" w:bidi="fr-FR"/>
    </w:rPr>
  </w:style>
  <w:style w:type="character" w:customStyle="1" w:styleId="LgendedutableauNonItalique">
    <w:name w:val="Légende du tableau + Non Italique"/>
    <w:rsid w:val="0050233F"/>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Corpsdutexte127pt">
    <w:name w:val="Corps du texte (12) + 7 pt"/>
    <w:rsid w:val="0050233F"/>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style>
  <w:style w:type="character" w:customStyle="1" w:styleId="Lgendedutableau3Petitesmajuscules">
    <w:name w:val="Légende du tableau (3) + Petites majuscules"/>
    <w:rsid w:val="0050233F"/>
    <w:rPr>
      <w:rFonts w:ascii="Times New Roman" w:eastAsia="Times New Roman" w:hAnsi="Times New Roman" w:cs="Times New Roman"/>
      <w:b w:val="0"/>
      <w:bCs w:val="0"/>
      <w:i w:val="0"/>
      <w:iCs w:val="0"/>
      <w:smallCaps/>
      <w:strike w:val="0"/>
      <w:color w:val="000000"/>
      <w:spacing w:val="0"/>
      <w:w w:val="100"/>
      <w:position w:val="0"/>
      <w:sz w:val="15"/>
      <w:szCs w:val="15"/>
      <w:u w:val="none"/>
      <w:lang w:val="fr-FR" w:eastAsia="fr-FR" w:bidi="fr-FR"/>
    </w:rPr>
  </w:style>
  <w:style w:type="character" w:customStyle="1" w:styleId="Lgendedutableau39pt">
    <w:name w:val="Légende du tableau (3) + 9 pt"/>
    <w:rsid w:val="0050233F"/>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Lgendedutableau4">
    <w:name w:val="Légende du tableau (4)_"/>
    <w:link w:val="Lgendedutableau40"/>
    <w:rsid w:val="0050233F"/>
    <w:rPr>
      <w:rFonts w:ascii="Times New Roman" w:eastAsia="Times New Roman" w:hAnsi="Times New Roman"/>
      <w:sz w:val="18"/>
      <w:szCs w:val="18"/>
      <w:shd w:val="clear" w:color="auto" w:fill="FFFFFF"/>
    </w:rPr>
  </w:style>
  <w:style w:type="paragraph" w:customStyle="1" w:styleId="Lgendedutableau40">
    <w:name w:val="Légende du tableau (4)"/>
    <w:basedOn w:val="Normal"/>
    <w:link w:val="Lgendedutableau4"/>
    <w:rsid w:val="0050233F"/>
    <w:pPr>
      <w:widowControl w:val="0"/>
      <w:shd w:val="clear" w:color="auto" w:fill="FFFFFF"/>
      <w:spacing w:before="120" w:after="120" w:line="0" w:lineRule="atLeast"/>
      <w:ind w:hanging="4"/>
      <w:contextualSpacing/>
      <w:jc w:val="both"/>
    </w:pPr>
    <w:rPr>
      <w:sz w:val="18"/>
      <w:szCs w:val="18"/>
      <w:lang w:val="x-none" w:eastAsia="x-none"/>
    </w:rPr>
  </w:style>
  <w:style w:type="character" w:customStyle="1" w:styleId="Corpsdutexte375ptPetitesmajuscules">
    <w:name w:val="Corps du texte (3) + 7.5 pt;Petites majuscules"/>
    <w:rsid w:val="0050233F"/>
    <w:rPr>
      <w:rFonts w:ascii="Times New Roman" w:eastAsia="Times New Roman" w:hAnsi="Times New Roman" w:cs="Times New Roman"/>
      <w:b w:val="0"/>
      <w:bCs w:val="0"/>
      <w:i w:val="0"/>
      <w:iCs w:val="0"/>
      <w:smallCaps/>
      <w:strike w:val="0"/>
      <w:color w:val="000000"/>
      <w:spacing w:val="0"/>
      <w:w w:val="100"/>
      <w:position w:val="0"/>
      <w:sz w:val="15"/>
      <w:szCs w:val="15"/>
      <w:u w:val="none"/>
      <w:lang w:val="fr-FR" w:eastAsia="fr-FR" w:bidi="fr-FR"/>
    </w:rPr>
  </w:style>
  <w:style w:type="character" w:customStyle="1" w:styleId="Corpsdutexte129ptExact">
    <w:name w:val="Corps du texte (12) + 9 pt Exact"/>
    <w:rsid w:val="0050233F"/>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Corpsdutexte12ItaliqueExact">
    <w:name w:val="Corps du texte (12) + Italique Exact"/>
    <w:rsid w:val="0050233F"/>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12Petitesmajuscules">
    <w:name w:val="Corps du texte (12) + Petites majuscules"/>
    <w:rsid w:val="0050233F"/>
    <w:rPr>
      <w:rFonts w:ascii="Times New Roman" w:eastAsia="Times New Roman" w:hAnsi="Times New Roman" w:cs="Times New Roman"/>
      <w:b w:val="0"/>
      <w:bCs w:val="0"/>
      <w:i w:val="0"/>
      <w:iCs w:val="0"/>
      <w:smallCaps/>
      <w:strike w:val="0"/>
      <w:color w:val="000000"/>
      <w:spacing w:val="0"/>
      <w:w w:val="100"/>
      <w:position w:val="0"/>
      <w:sz w:val="15"/>
      <w:szCs w:val="15"/>
      <w:u w:val="none"/>
      <w:lang w:val="fr-FR" w:eastAsia="fr-FR" w:bidi="fr-FR"/>
    </w:rPr>
  </w:style>
  <w:style w:type="character" w:customStyle="1" w:styleId="Corpsdutexte12PetitesmajusculesExact">
    <w:name w:val="Corps du texte (12) + Petites majuscules Exact"/>
    <w:rsid w:val="0050233F"/>
    <w:rPr>
      <w:rFonts w:ascii="Times New Roman" w:eastAsia="Times New Roman" w:hAnsi="Times New Roman" w:cs="Times New Roman"/>
      <w:b w:val="0"/>
      <w:bCs w:val="0"/>
      <w:i w:val="0"/>
      <w:iCs w:val="0"/>
      <w:smallCaps/>
      <w:strike w:val="0"/>
      <w:sz w:val="15"/>
      <w:szCs w:val="15"/>
      <w:u w:val="none"/>
    </w:rPr>
  </w:style>
  <w:style w:type="character" w:customStyle="1" w:styleId="Tabledesmatires7">
    <w:name w:val="Table des matières (7)_"/>
    <w:link w:val="Tabledesmatires70"/>
    <w:rsid w:val="0050233F"/>
    <w:rPr>
      <w:rFonts w:ascii="Times New Roman" w:eastAsia="Times New Roman" w:hAnsi="Times New Roman"/>
      <w:sz w:val="14"/>
      <w:szCs w:val="14"/>
      <w:shd w:val="clear" w:color="auto" w:fill="FFFFFF"/>
    </w:rPr>
  </w:style>
  <w:style w:type="paragraph" w:customStyle="1" w:styleId="Tabledesmatires70">
    <w:name w:val="Table des matières (7)"/>
    <w:basedOn w:val="Normal"/>
    <w:link w:val="Tabledesmatires7"/>
    <w:rsid w:val="0050233F"/>
    <w:pPr>
      <w:widowControl w:val="0"/>
      <w:shd w:val="clear" w:color="auto" w:fill="FFFFFF"/>
      <w:spacing w:before="120" w:after="180" w:line="202" w:lineRule="exact"/>
      <w:ind w:firstLine="139"/>
      <w:contextualSpacing/>
    </w:pPr>
    <w:rPr>
      <w:sz w:val="14"/>
      <w:szCs w:val="14"/>
      <w:lang w:val="x-none" w:eastAsia="x-none"/>
    </w:rPr>
  </w:style>
  <w:style w:type="character" w:customStyle="1" w:styleId="Tabledesmatires3Italique">
    <w:name w:val="Table des matières (3) + Italique"/>
    <w:rsid w:val="0050233F"/>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Tabledesmatires30">
    <w:name w:val="Table des matières (3)"/>
    <w:rsid w:val="0050233F"/>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Corpsdutexte12Exact">
    <w:name w:val="Corps du texte (12) Exact"/>
    <w:rsid w:val="0050233F"/>
    <w:rPr>
      <w:rFonts w:ascii="Times New Roman" w:eastAsia="Times New Roman" w:hAnsi="Times New Roman" w:cs="Times New Roman"/>
      <w:b w:val="0"/>
      <w:bCs w:val="0"/>
      <w:i w:val="0"/>
      <w:iCs w:val="0"/>
      <w:smallCaps w:val="0"/>
      <w:strike w:val="0"/>
      <w:sz w:val="15"/>
      <w:szCs w:val="15"/>
      <w:u w:val="none"/>
    </w:rPr>
  </w:style>
  <w:style w:type="paragraph" w:customStyle="1" w:styleId="Corpsdutexte15">
    <w:name w:val="Corps du texte (15)"/>
    <w:basedOn w:val="Normal"/>
    <w:rsid w:val="0050233F"/>
    <w:pPr>
      <w:shd w:val="clear" w:color="auto" w:fill="FFFFFF"/>
      <w:spacing w:before="120" w:after="120" w:line="0" w:lineRule="atLeast"/>
      <w:contextualSpacing/>
    </w:pPr>
    <w:rPr>
      <w:b/>
      <w:bCs/>
      <w:color w:val="000000"/>
      <w:szCs w:val="28"/>
      <w:lang w:eastAsia="fr-FR"/>
    </w:rPr>
  </w:style>
  <w:style w:type="character" w:customStyle="1" w:styleId="Corpsdutexte275ptItalique">
    <w:name w:val="Corps du texte (2) + 7.5 pt;Italique"/>
    <w:rsid w:val="0050233F"/>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paragraph" w:customStyle="1" w:styleId="Corpsdutexte2">
    <w:name w:val="Corps du texte (2)"/>
    <w:basedOn w:val="Normal"/>
    <w:rsid w:val="0050233F"/>
    <w:pPr>
      <w:shd w:val="clear" w:color="auto" w:fill="FFFFFF"/>
      <w:spacing w:before="120" w:after="240" w:line="0" w:lineRule="atLeast"/>
      <w:ind w:hanging="238"/>
      <w:contextualSpacing/>
    </w:pPr>
    <w:rPr>
      <w:color w:val="000000"/>
      <w:sz w:val="20"/>
      <w:lang w:eastAsia="fr-FR"/>
    </w:rPr>
  </w:style>
  <w:style w:type="character" w:customStyle="1" w:styleId="LgendedelimageNonItaliqueExact">
    <w:name w:val="Légende de l'image + Non Italique Exact"/>
    <w:rsid w:val="0050233F"/>
    <w:rPr>
      <w:rFonts w:ascii="Times New Roman" w:eastAsia="Times New Roman" w:hAnsi="Times New Roman" w:cs="Times New Roman"/>
      <w:b w:val="0"/>
      <w:bCs w:val="0"/>
      <w:i w:val="0"/>
      <w:iCs w:val="0"/>
      <w:smallCaps w:val="0"/>
      <w:strike w:val="0"/>
      <w:sz w:val="15"/>
      <w:szCs w:val="15"/>
      <w:u w:val="none"/>
    </w:rPr>
  </w:style>
  <w:style w:type="character" w:customStyle="1" w:styleId="Lgendedelimage9Exact">
    <w:name w:val="Légende de l'image (9) Exact"/>
    <w:rsid w:val="0050233F"/>
    <w:rPr>
      <w:rFonts w:ascii="Times New Roman" w:eastAsia="Times New Roman" w:hAnsi="Times New Roman" w:cs="Times New Roman"/>
      <w:b w:val="0"/>
      <w:bCs w:val="0"/>
      <w:i w:val="0"/>
      <w:iCs w:val="0"/>
      <w:smallCaps w:val="0"/>
      <w:strike w:val="0"/>
      <w:sz w:val="21"/>
      <w:szCs w:val="21"/>
      <w:u w:val="none"/>
    </w:rPr>
  </w:style>
  <w:style w:type="character" w:customStyle="1" w:styleId="En-tte22Exact">
    <w:name w:val="En-tête #2 (2) Exact"/>
    <w:link w:val="En-tte22"/>
    <w:rsid w:val="0050233F"/>
    <w:rPr>
      <w:rFonts w:ascii="AppleGothic" w:eastAsia="AppleGothic" w:hAnsi="AppleGothic" w:cs="AppleGothic"/>
      <w:i/>
      <w:iCs/>
      <w:sz w:val="26"/>
      <w:szCs w:val="26"/>
      <w:shd w:val="clear" w:color="auto" w:fill="FFFFFF"/>
    </w:rPr>
  </w:style>
  <w:style w:type="paragraph" w:customStyle="1" w:styleId="En-tte22">
    <w:name w:val="En-tête #2 (2)"/>
    <w:basedOn w:val="Normal"/>
    <w:link w:val="En-tte22Exact"/>
    <w:rsid w:val="0050233F"/>
    <w:pPr>
      <w:widowControl w:val="0"/>
      <w:shd w:val="clear" w:color="auto" w:fill="FFFFFF"/>
      <w:spacing w:before="120" w:after="120" w:line="0" w:lineRule="atLeast"/>
      <w:ind w:hanging="10"/>
      <w:contextualSpacing/>
      <w:outlineLvl w:val="1"/>
    </w:pPr>
    <w:rPr>
      <w:rFonts w:ascii="AppleGothic" w:eastAsia="AppleGothic" w:hAnsi="AppleGothic"/>
      <w:i/>
      <w:iCs/>
      <w:sz w:val="26"/>
      <w:szCs w:val="26"/>
      <w:lang w:val="x-none" w:eastAsia="x-none"/>
    </w:rPr>
  </w:style>
  <w:style w:type="character" w:customStyle="1" w:styleId="Corpsdutexte2105pt">
    <w:name w:val="Corps du texte (2) + 10.5 pt"/>
    <w:rsid w:val="0050233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En-tte3610ptExact">
    <w:name w:val="En-tête #3 (6) + 10 pt Exact"/>
    <w:rsid w:val="0050233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En-tteoupieddepageExact">
    <w:name w:val="En-tête ou pied de page Exact"/>
    <w:rsid w:val="0050233F"/>
    <w:rPr>
      <w:rFonts w:ascii="Times New Roman" w:eastAsia="Times New Roman" w:hAnsi="Times New Roman" w:cs="Times New Roman"/>
      <w:b w:val="0"/>
      <w:bCs w:val="0"/>
      <w:i/>
      <w:iCs/>
      <w:smallCaps w:val="0"/>
      <w:strike w:val="0"/>
      <w:sz w:val="14"/>
      <w:szCs w:val="14"/>
      <w:u w:val="none"/>
    </w:rPr>
  </w:style>
  <w:style w:type="character" w:customStyle="1" w:styleId="En-tteoupieddepageNonItaliqueExact">
    <w:name w:val="En-tête ou pied de page + Non Italique Exact"/>
    <w:rsid w:val="0050233F"/>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style>
  <w:style w:type="character" w:customStyle="1" w:styleId="Lgendedelimage9">
    <w:name w:val="Légende de l'image (9)_"/>
    <w:link w:val="Lgendedelimage90"/>
    <w:rsid w:val="0050233F"/>
    <w:rPr>
      <w:rFonts w:ascii="Times New Roman" w:eastAsia="Times New Roman" w:hAnsi="Times New Roman"/>
      <w:sz w:val="21"/>
      <w:szCs w:val="21"/>
      <w:shd w:val="clear" w:color="auto" w:fill="FFFFFF"/>
    </w:rPr>
  </w:style>
  <w:style w:type="paragraph" w:customStyle="1" w:styleId="Lgendedelimage90">
    <w:name w:val="Légende de l'image (9)"/>
    <w:basedOn w:val="Normal"/>
    <w:link w:val="Lgendedelimage9"/>
    <w:rsid w:val="0050233F"/>
    <w:pPr>
      <w:widowControl w:val="0"/>
      <w:shd w:val="clear" w:color="auto" w:fill="FFFFFF"/>
      <w:spacing w:before="120" w:after="120" w:line="241" w:lineRule="exact"/>
      <w:contextualSpacing/>
      <w:jc w:val="center"/>
    </w:pPr>
    <w:rPr>
      <w:sz w:val="21"/>
      <w:szCs w:val="21"/>
      <w:lang w:val="x-none" w:eastAsia="x-none"/>
    </w:rPr>
  </w:style>
  <w:style w:type="character" w:customStyle="1" w:styleId="LgendedelimageNonItalique">
    <w:name w:val="Légende de l'image + Non Italique"/>
    <w:rsid w:val="0050233F"/>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En-tte12Exact">
    <w:name w:val="En-tête #1 (2) Exact"/>
    <w:link w:val="En-tte12"/>
    <w:rsid w:val="0050233F"/>
    <w:rPr>
      <w:rFonts w:ascii="Times New Roman" w:eastAsia="Times New Roman" w:hAnsi="Times New Roman"/>
      <w:b/>
      <w:bCs/>
      <w:i/>
      <w:iCs/>
      <w:sz w:val="30"/>
      <w:szCs w:val="30"/>
      <w:shd w:val="clear" w:color="auto" w:fill="FFFFFF"/>
    </w:rPr>
  </w:style>
  <w:style w:type="paragraph" w:customStyle="1" w:styleId="En-tte12">
    <w:name w:val="En-tête #1 (2)"/>
    <w:basedOn w:val="Normal"/>
    <w:link w:val="En-tte12Exact"/>
    <w:rsid w:val="0050233F"/>
    <w:pPr>
      <w:widowControl w:val="0"/>
      <w:shd w:val="clear" w:color="auto" w:fill="FFFFFF"/>
      <w:spacing w:before="120" w:after="120" w:line="0" w:lineRule="atLeast"/>
      <w:ind w:firstLine="9"/>
      <w:contextualSpacing/>
      <w:outlineLvl w:val="0"/>
    </w:pPr>
    <w:rPr>
      <w:b/>
      <w:bCs/>
      <w:i/>
      <w:iCs/>
      <w:sz w:val="30"/>
      <w:szCs w:val="30"/>
      <w:lang w:val="x-none" w:eastAsia="x-none"/>
    </w:rPr>
  </w:style>
  <w:style w:type="character" w:customStyle="1" w:styleId="Corpsdutexte275pt">
    <w:name w:val="Corps du texte (2) + 7.5 pt"/>
    <w:rsid w:val="0050233F"/>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paragraph" w:styleId="TM3">
    <w:name w:val="toc 3"/>
    <w:basedOn w:val="Normal"/>
    <w:next w:val="Normal"/>
    <w:autoRedefine/>
    <w:uiPriority w:val="39"/>
    <w:unhideWhenUsed/>
    <w:rsid w:val="0050233F"/>
    <w:pPr>
      <w:spacing w:before="120" w:after="120"/>
      <w:ind w:left="560"/>
      <w:contextualSpacing/>
    </w:pPr>
    <w:rPr>
      <w:color w:val="000000"/>
      <w:szCs w:val="28"/>
      <w:lang w:eastAsia="fr-FR"/>
    </w:rPr>
  </w:style>
  <w:style w:type="paragraph" w:styleId="TM1">
    <w:name w:val="toc 1"/>
    <w:basedOn w:val="Normal"/>
    <w:next w:val="Normal"/>
    <w:autoRedefine/>
    <w:uiPriority w:val="39"/>
    <w:unhideWhenUsed/>
    <w:rsid w:val="0050233F"/>
    <w:pPr>
      <w:spacing w:before="120" w:after="120"/>
      <w:contextualSpacing/>
    </w:pPr>
    <w:rPr>
      <w:color w:val="000000"/>
      <w:szCs w:val="28"/>
      <w:lang w:eastAsia="fr-FR"/>
    </w:rPr>
  </w:style>
  <w:style w:type="paragraph" w:customStyle="1" w:styleId="figc">
    <w:name w:val="fig c"/>
    <w:basedOn w:val="fig"/>
    <w:autoRedefine/>
    <w:rsid w:val="0050233F"/>
    <w:pPr>
      <w:contextualSpacing/>
    </w:pPr>
    <w:rPr>
      <w:color w:val="000000"/>
      <w:szCs w:val="28"/>
      <w:lang w:eastAsia="fr-FR"/>
    </w:rPr>
  </w:style>
  <w:style w:type="paragraph" w:customStyle="1" w:styleId="figsource">
    <w:name w:val="fig source"/>
    <w:basedOn w:val="figst"/>
    <w:autoRedefine/>
    <w:rsid w:val="0050233F"/>
    <w:pPr>
      <w:jc w:val="both"/>
    </w:pPr>
  </w:style>
  <w:style w:type="character" w:customStyle="1" w:styleId="En-tte220">
    <w:name w:val="En-tête #2 (2)_"/>
    <w:rsid w:val="00C675C7"/>
    <w:rPr>
      <w:rFonts w:ascii="Times New Roman" w:eastAsia="Times New Roman" w:hAnsi="Times New Roman" w:cs="Times New Roman"/>
      <w:b/>
      <w:bCs/>
      <w:i w:val="0"/>
      <w:iCs w:val="0"/>
      <w:smallCaps w:val="0"/>
      <w:strike w:val="0"/>
      <w:spacing w:val="0"/>
      <w:sz w:val="28"/>
      <w:szCs w:val="28"/>
      <w:u w:val="none"/>
    </w:rPr>
  </w:style>
  <w:style w:type="character" w:customStyle="1" w:styleId="En-tte213ptNonGrasItalique">
    <w:name w:val="En-tête #2 + 13 pt;Non Gras;Italique"/>
    <w:rsid w:val="00C675C7"/>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rpsdutexte6NonGrasItalique">
    <w:name w:val="Corps du texte (6) + Non Gras;Italique"/>
    <w:rsid w:val="00C675C7"/>
    <w:rPr>
      <w:rFonts w:ascii="Times New Roman" w:eastAsia="Times New Roman" w:hAnsi="Times New Roman" w:cs="Times New Roman"/>
      <w:b/>
      <w:bCs/>
      <w:i/>
      <w:iCs/>
      <w:smallCaps w:val="0"/>
      <w:strike w:val="0"/>
      <w:color w:val="000000"/>
      <w:spacing w:val="0"/>
      <w:w w:val="100"/>
      <w:position w:val="0"/>
      <w:sz w:val="20"/>
      <w:szCs w:val="20"/>
      <w:u w:val="none"/>
      <w:lang w:val="fr-FR" w:eastAsia="fr-FR" w:bidi="fr-FR"/>
    </w:rPr>
  </w:style>
  <w:style w:type="character" w:customStyle="1" w:styleId="En-tte112ptGrasEspacement0pt">
    <w:name w:val="En-tête #1 + 12 pt;Gras;Espacement 0 pt"/>
    <w:rsid w:val="00C675C7"/>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paragraph" w:customStyle="1" w:styleId="planche2">
    <w:name w:val="planche 2"/>
    <w:basedOn w:val="planche"/>
    <w:autoRedefine/>
    <w:rsid w:val="00514999"/>
    <w:rPr>
      <w:color w:val="FF0000"/>
    </w:rPr>
  </w:style>
  <w:style w:type="paragraph" w:customStyle="1" w:styleId="d">
    <w:name w:val="d"/>
    <w:basedOn w:val="Normal"/>
    <w:autoRedefine/>
    <w:rsid w:val="00E80E3C"/>
    <w:pPr>
      <w:spacing w:before="120" w:after="120"/>
      <w:ind w:left="1440" w:firstLine="0"/>
    </w:pPr>
    <w:rPr>
      <w:i/>
      <w:color w:val="008000"/>
      <w:lang w:bidi="fr-FR"/>
    </w:rPr>
  </w:style>
  <w:style w:type="paragraph" w:customStyle="1" w:styleId="aa">
    <w:name w:val="aa"/>
    <w:basedOn w:val="Normal"/>
    <w:autoRedefine/>
    <w:rsid w:val="0008485A"/>
    <w:pPr>
      <w:spacing w:before="120" w:after="120"/>
      <w:ind w:firstLine="0"/>
    </w:pPr>
    <w:rPr>
      <w:b/>
      <w:i/>
      <w:color w:val="FF0000"/>
      <w:sz w:val="32"/>
      <w:lang w:bidi="fr-FR"/>
    </w:rPr>
  </w:style>
  <w:style w:type="paragraph" w:customStyle="1" w:styleId="bb">
    <w:name w:val="bb"/>
    <w:basedOn w:val="Normal"/>
    <w:autoRedefine/>
    <w:rsid w:val="000A24D6"/>
    <w:pPr>
      <w:spacing w:before="120" w:after="120"/>
      <w:ind w:left="720" w:firstLine="0"/>
    </w:pPr>
    <w:rPr>
      <w:i/>
      <w:color w:val="0000FF"/>
      <w:lang w:bidi="fr-FR"/>
    </w:rPr>
  </w:style>
  <w:style w:type="paragraph" w:customStyle="1" w:styleId="dd">
    <w:name w:val="dd"/>
    <w:basedOn w:val="Normal"/>
    <w:autoRedefine/>
    <w:rsid w:val="00E85DD7"/>
    <w:pPr>
      <w:spacing w:before="120" w:after="120"/>
      <w:ind w:left="1080" w:firstLine="0"/>
    </w:pPr>
    <w:rPr>
      <w:i/>
      <w:color w:val="008000"/>
      <w:lang w:bidi="fr-FR"/>
    </w:rPr>
  </w:style>
  <w:style w:type="paragraph" w:customStyle="1" w:styleId="fig2">
    <w:name w:val="fig 2"/>
    <w:basedOn w:val="fig"/>
    <w:autoRedefine/>
    <w:rsid w:val="0060424A"/>
    <w:pPr>
      <w:ind w:left="-1440"/>
      <w:jc w:val="right"/>
    </w:pPr>
  </w:style>
  <w:style w:type="paragraph" w:customStyle="1" w:styleId="Notedebasdepageliste">
    <w:name w:val="Note de bas de page liste"/>
    <w:basedOn w:val="Notedebasdepage"/>
    <w:autoRedefine/>
    <w:rsid w:val="009E5F70"/>
    <w:pPr>
      <w:ind w:left="900"/>
    </w:pPr>
  </w:style>
  <w:style w:type="character" w:customStyle="1" w:styleId="Sous-titreCar">
    <w:name w:val="Sous-titre Car"/>
    <w:basedOn w:val="Policepardfaut"/>
    <w:link w:val="Sous-titre"/>
    <w:rsid w:val="003563E0"/>
    <w:rPr>
      <w:rFonts w:ascii="BI Times BoldItalic" w:eastAsia="Times New Roman" w:hAnsi="BI Times BoldItalic"/>
      <w:sz w:val="48"/>
      <w:lang w:val="fr-CA" w:eastAsia="en-US"/>
    </w:rPr>
  </w:style>
  <w:style w:type="paragraph" w:styleId="Sous-titre">
    <w:name w:val="Subtitle"/>
    <w:basedOn w:val="Normal"/>
    <w:link w:val="Sous-titreCar"/>
    <w:qFormat/>
    <w:rsid w:val="003563E0"/>
    <w:pPr>
      <w:tabs>
        <w:tab w:val="right" w:pos="3732"/>
      </w:tabs>
      <w:ind w:left="1080" w:hanging="1080"/>
    </w:pPr>
    <w:rPr>
      <w:rFonts w:ascii="BI Times BoldItalic" w:hAnsi="BI Times BoldItalic"/>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mailto:alain.noel@umontreal.ca"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gerard.boismenu@umontreal.ca" TargetMode="External"/><Relationship Id="rId10" Type="http://schemas.openxmlformats.org/officeDocument/2006/relationships/image" Target="media/image2.jpeg"/><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13404</Words>
  <Characters>73723</Characters>
  <Application>Microsoft Office Word</Application>
  <DocSecurity>0</DocSecurity>
  <Lines>614</Lines>
  <Paragraphs>173</Paragraphs>
  <ScaleCrop>false</ScaleCrop>
  <HeadingPairs>
    <vt:vector size="2" baseType="variant">
      <vt:variant>
        <vt:lpstr>Title</vt:lpstr>
      </vt:variant>
      <vt:variant>
        <vt:i4>1</vt:i4>
      </vt:variant>
    </vt:vector>
  </HeadingPairs>
  <TitlesOfParts>
    <vt:vector size="1" baseType="lpstr">
      <vt:lpstr>“La restructuration de la protection sociale en Amérique du Nord et en Europe.”</vt:lpstr>
    </vt:vector>
  </TitlesOfParts>
  <Manager>Jean marie Tremblay, sociologue, bénévole, 2020</Manager>
  <Company>Les Classiques des sciences sociales</Company>
  <LinksUpToDate>false</LinksUpToDate>
  <CharactersWithSpaces>86954</CharactersWithSpaces>
  <SharedDoc>false</SharedDoc>
  <HyperlinkBase/>
  <HLinks>
    <vt:vector size="162" baseType="variant">
      <vt:variant>
        <vt:i4>6553625</vt:i4>
      </vt:variant>
      <vt:variant>
        <vt:i4>60</vt:i4>
      </vt:variant>
      <vt:variant>
        <vt:i4>0</vt:i4>
      </vt:variant>
      <vt:variant>
        <vt:i4>5</vt:i4>
      </vt:variant>
      <vt:variant>
        <vt:lpwstr/>
      </vt:variant>
      <vt:variant>
        <vt:lpwstr>tdm</vt:lpwstr>
      </vt:variant>
      <vt:variant>
        <vt:i4>6553625</vt:i4>
      </vt:variant>
      <vt:variant>
        <vt:i4>57</vt:i4>
      </vt:variant>
      <vt:variant>
        <vt:i4>0</vt:i4>
      </vt:variant>
      <vt:variant>
        <vt:i4>5</vt:i4>
      </vt:variant>
      <vt:variant>
        <vt:lpwstr/>
      </vt:variant>
      <vt:variant>
        <vt:lpwstr>tdm</vt:lpwstr>
      </vt:variant>
      <vt:variant>
        <vt:i4>6553625</vt:i4>
      </vt:variant>
      <vt:variant>
        <vt:i4>54</vt:i4>
      </vt:variant>
      <vt:variant>
        <vt:i4>0</vt:i4>
      </vt:variant>
      <vt:variant>
        <vt:i4>5</vt:i4>
      </vt:variant>
      <vt:variant>
        <vt:lpwstr/>
      </vt:variant>
      <vt:variant>
        <vt:lpwstr>tdm</vt:lpwstr>
      </vt:variant>
      <vt:variant>
        <vt:i4>6553625</vt:i4>
      </vt:variant>
      <vt:variant>
        <vt:i4>51</vt:i4>
      </vt:variant>
      <vt:variant>
        <vt:i4>0</vt:i4>
      </vt:variant>
      <vt:variant>
        <vt:i4>5</vt:i4>
      </vt:variant>
      <vt:variant>
        <vt:lpwstr/>
      </vt:variant>
      <vt:variant>
        <vt:lpwstr>tdm</vt:lpwstr>
      </vt:variant>
      <vt:variant>
        <vt:i4>6553625</vt:i4>
      </vt:variant>
      <vt:variant>
        <vt:i4>48</vt:i4>
      </vt:variant>
      <vt:variant>
        <vt:i4>0</vt:i4>
      </vt:variant>
      <vt:variant>
        <vt:i4>5</vt:i4>
      </vt:variant>
      <vt:variant>
        <vt:lpwstr/>
      </vt:variant>
      <vt:variant>
        <vt:lpwstr>tdm</vt:lpwstr>
      </vt:variant>
      <vt:variant>
        <vt:i4>6553625</vt:i4>
      </vt:variant>
      <vt:variant>
        <vt:i4>45</vt:i4>
      </vt:variant>
      <vt:variant>
        <vt:i4>0</vt:i4>
      </vt:variant>
      <vt:variant>
        <vt:i4>5</vt:i4>
      </vt:variant>
      <vt:variant>
        <vt:lpwstr/>
      </vt:variant>
      <vt:variant>
        <vt:lpwstr>tdm</vt:lpwstr>
      </vt:variant>
      <vt:variant>
        <vt:i4>6553625</vt:i4>
      </vt:variant>
      <vt:variant>
        <vt:i4>42</vt:i4>
      </vt:variant>
      <vt:variant>
        <vt:i4>0</vt:i4>
      </vt:variant>
      <vt:variant>
        <vt:i4>5</vt:i4>
      </vt:variant>
      <vt:variant>
        <vt:lpwstr/>
      </vt:variant>
      <vt:variant>
        <vt:lpwstr>tdm</vt:lpwstr>
      </vt:variant>
      <vt:variant>
        <vt:i4>5439599</vt:i4>
      </vt:variant>
      <vt:variant>
        <vt:i4>39</vt:i4>
      </vt:variant>
      <vt:variant>
        <vt:i4>0</vt:i4>
      </vt:variant>
      <vt:variant>
        <vt:i4>5</vt:i4>
      </vt:variant>
      <vt:variant>
        <vt:lpwstr/>
      </vt:variant>
      <vt:variant>
        <vt:lpwstr>Restructuration_resume</vt:lpwstr>
      </vt:variant>
      <vt:variant>
        <vt:i4>5767294</vt:i4>
      </vt:variant>
      <vt:variant>
        <vt:i4>36</vt:i4>
      </vt:variant>
      <vt:variant>
        <vt:i4>0</vt:i4>
      </vt:variant>
      <vt:variant>
        <vt:i4>5</vt:i4>
      </vt:variant>
      <vt:variant>
        <vt:lpwstr/>
      </vt:variant>
      <vt:variant>
        <vt:lpwstr>Restructuration_conclusion</vt:lpwstr>
      </vt:variant>
      <vt:variant>
        <vt:i4>2490423</vt:i4>
      </vt:variant>
      <vt:variant>
        <vt:i4>33</vt:i4>
      </vt:variant>
      <vt:variant>
        <vt:i4>0</vt:i4>
      </vt:variant>
      <vt:variant>
        <vt:i4>5</vt:i4>
      </vt:variant>
      <vt:variant>
        <vt:lpwstr/>
      </vt:variant>
      <vt:variant>
        <vt:lpwstr>Restructuration_4</vt:lpwstr>
      </vt:variant>
      <vt:variant>
        <vt:i4>2490416</vt:i4>
      </vt:variant>
      <vt:variant>
        <vt:i4>30</vt:i4>
      </vt:variant>
      <vt:variant>
        <vt:i4>0</vt:i4>
      </vt:variant>
      <vt:variant>
        <vt:i4>5</vt:i4>
      </vt:variant>
      <vt:variant>
        <vt:lpwstr/>
      </vt:variant>
      <vt:variant>
        <vt:lpwstr>Restructuration_3</vt:lpwstr>
      </vt:variant>
      <vt:variant>
        <vt:i4>2490417</vt:i4>
      </vt:variant>
      <vt:variant>
        <vt:i4>27</vt:i4>
      </vt:variant>
      <vt:variant>
        <vt:i4>0</vt:i4>
      </vt:variant>
      <vt:variant>
        <vt:i4>5</vt:i4>
      </vt:variant>
      <vt:variant>
        <vt:lpwstr/>
      </vt:variant>
      <vt:variant>
        <vt:lpwstr>Restructuration_2</vt:lpwstr>
      </vt:variant>
      <vt:variant>
        <vt:i4>2490418</vt:i4>
      </vt:variant>
      <vt:variant>
        <vt:i4>24</vt:i4>
      </vt:variant>
      <vt:variant>
        <vt:i4>0</vt:i4>
      </vt:variant>
      <vt:variant>
        <vt:i4>5</vt:i4>
      </vt:variant>
      <vt:variant>
        <vt:lpwstr/>
      </vt:variant>
      <vt:variant>
        <vt:lpwstr>Restructuration_1</vt:lpwstr>
      </vt:variant>
      <vt:variant>
        <vt:i4>3801201</vt:i4>
      </vt:variant>
      <vt:variant>
        <vt:i4>21</vt:i4>
      </vt:variant>
      <vt:variant>
        <vt:i4>0</vt:i4>
      </vt:variant>
      <vt:variant>
        <vt:i4>5</vt:i4>
      </vt:variant>
      <vt:variant>
        <vt:lpwstr/>
      </vt:variant>
      <vt:variant>
        <vt:lpwstr>Restructuration_intro</vt:lpwstr>
      </vt:variant>
      <vt:variant>
        <vt:i4>1572966</vt:i4>
      </vt:variant>
      <vt:variant>
        <vt:i4>18</vt:i4>
      </vt:variant>
      <vt:variant>
        <vt:i4>0</vt:i4>
      </vt:variant>
      <vt:variant>
        <vt:i4>5</vt:i4>
      </vt:variant>
      <vt:variant>
        <vt:lpwstr>mailto:alain.noel@umontreal.ca</vt:lpwstr>
      </vt:variant>
      <vt:variant>
        <vt:lpwstr/>
      </vt:variant>
      <vt:variant>
        <vt:i4>2293821</vt:i4>
      </vt:variant>
      <vt:variant>
        <vt:i4>15</vt:i4>
      </vt:variant>
      <vt:variant>
        <vt:i4>0</vt:i4>
      </vt:variant>
      <vt:variant>
        <vt:i4>5</vt:i4>
      </vt:variant>
      <vt:variant>
        <vt:lpwstr>mailto:gerard.boismenu@umontreal.ca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2398</vt:i4>
      </vt:variant>
      <vt:variant>
        <vt:i4>1025</vt:i4>
      </vt:variant>
      <vt:variant>
        <vt:i4>1</vt:i4>
      </vt:variant>
      <vt:variant>
        <vt:lpwstr>css_logo_gris</vt:lpwstr>
      </vt:variant>
      <vt:variant>
        <vt:lpwstr/>
      </vt:variant>
      <vt:variant>
        <vt:i4>5111880</vt:i4>
      </vt:variant>
      <vt:variant>
        <vt:i4>2687</vt:i4>
      </vt:variant>
      <vt:variant>
        <vt:i4>1026</vt:i4>
      </vt:variant>
      <vt:variant>
        <vt:i4>1</vt:i4>
      </vt:variant>
      <vt:variant>
        <vt:lpwstr>UQAC_logo_2018</vt:lpwstr>
      </vt:variant>
      <vt:variant>
        <vt:lpwstr/>
      </vt:variant>
      <vt:variant>
        <vt:i4>4194334</vt:i4>
      </vt:variant>
      <vt:variant>
        <vt:i4>4829</vt:i4>
      </vt:variant>
      <vt:variant>
        <vt:i4>1027</vt:i4>
      </vt:variant>
      <vt:variant>
        <vt:i4>1</vt:i4>
      </vt:variant>
      <vt:variant>
        <vt:lpwstr>Boite_aux_lettres_clair</vt:lpwstr>
      </vt:variant>
      <vt:variant>
        <vt:lpwstr/>
      </vt:variant>
      <vt:variant>
        <vt:i4>1703963</vt:i4>
      </vt:variant>
      <vt:variant>
        <vt:i4>5436</vt:i4>
      </vt:variant>
      <vt:variant>
        <vt:i4>1028</vt:i4>
      </vt:variant>
      <vt:variant>
        <vt:i4>1</vt:i4>
      </vt:variant>
      <vt:variant>
        <vt:lpwstr>fait_sur_mac</vt:lpwstr>
      </vt:variant>
      <vt:variant>
        <vt:lpwstr/>
      </vt:variant>
      <vt:variant>
        <vt:i4>4194383</vt:i4>
      </vt:variant>
      <vt:variant>
        <vt:i4>5622</vt:i4>
      </vt:variant>
      <vt:variant>
        <vt:i4>1029</vt:i4>
      </vt:variant>
      <vt:variant>
        <vt:i4>1</vt:i4>
      </vt:variant>
      <vt:variant>
        <vt:lpwstr>CRS_24_L25</vt:lpwstr>
      </vt:variant>
      <vt:variant>
        <vt:lpwstr/>
      </vt:variant>
      <vt:variant>
        <vt:i4>4063306</vt:i4>
      </vt:variant>
      <vt:variant>
        <vt:i4>76436</vt:i4>
      </vt:variant>
      <vt:variant>
        <vt:i4>1030</vt:i4>
      </vt:variant>
      <vt:variant>
        <vt:i4>1</vt:i4>
      </vt:variant>
      <vt:variant>
        <vt:lpwstr>Figure_p_79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restructuration de la protection sociale en Amérique du Nord et en Europe.”</dc:title>
  <dc:subject/>
  <dc:creator>Gérard Boismenu et Alain Noël, politologues, 1995.</dc:creator>
  <cp:keywords>classiques.sc.soc@gmail.com</cp:keywords>
  <dc:description>http://classiques.uqac.ca/</dc:description>
  <cp:lastModifiedBy>Microsoft Office User</cp:lastModifiedBy>
  <cp:revision>2</cp:revision>
  <cp:lastPrinted>2001-08-26T19:33:00Z</cp:lastPrinted>
  <dcterms:created xsi:type="dcterms:W3CDTF">2020-10-08T13:15:00Z</dcterms:created>
  <dcterms:modified xsi:type="dcterms:W3CDTF">2020-10-08T13:15:00Z</dcterms:modified>
  <cp:category>par jean-marie tremblay, fondateur, 1993</cp:category>
</cp:coreProperties>
</file>