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5C5342">
        <w:tblPrEx>
          <w:tblCellMar>
            <w:top w:w="0" w:type="dxa"/>
            <w:bottom w:w="0" w:type="dxa"/>
          </w:tblCellMar>
        </w:tblPrEx>
        <w:tc>
          <w:tcPr>
            <w:tcW w:w="9070" w:type="dxa"/>
            <w:shd w:val="clear" w:color="auto" w:fill="EEECE1"/>
          </w:tcPr>
          <w:p w:rsidR="005C5342" w:rsidRDefault="005C5342" w:rsidP="005C5342">
            <w:pPr>
              <w:rPr>
                <w:lang w:bidi="ar-SA"/>
              </w:rPr>
            </w:pPr>
            <w:bookmarkStart w:id="0" w:name="_GoBack"/>
            <w:bookmarkEnd w:id="0"/>
          </w:p>
          <w:p w:rsidR="005C5342" w:rsidRDefault="005C5342">
            <w:pPr>
              <w:ind w:firstLine="0"/>
              <w:jc w:val="center"/>
              <w:rPr>
                <w:color w:val="FF0000"/>
                <w:lang w:bidi="ar-SA"/>
              </w:rPr>
            </w:pPr>
          </w:p>
          <w:p w:rsidR="005C5342" w:rsidRDefault="005C5342">
            <w:pPr>
              <w:ind w:firstLine="0"/>
              <w:jc w:val="center"/>
              <w:rPr>
                <w:b/>
                <w:lang w:bidi="ar-SA"/>
              </w:rPr>
            </w:pPr>
          </w:p>
          <w:p w:rsidR="005C5342" w:rsidRPr="00D77B47" w:rsidRDefault="005C5342">
            <w:pPr>
              <w:ind w:firstLine="0"/>
              <w:jc w:val="center"/>
              <w:rPr>
                <w:sz w:val="36"/>
                <w:lang w:bidi="ar-SA"/>
              </w:rPr>
            </w:pPr>
            <w:r w:rsidRPr="00D77B47">
              <w:rPr>
                <w:sz w:val="36"/>
                <w:lang w:bidi="ar-SA"/>
              </w:rPr>
              <w:t>Louis GILL</w:t>
            </w:r>
          </w:p>
          <w:p w:rsidR="005C5342" w:rsidRPr="00F00623" w:rsidRDefault="005C5342">
            <w:pPr>
              <w:ind w:firstLine="0"/>
              <w:jc w:val="center"/>
              <w:rPr>
                <w:sz w:val="24"/>
                <w:lang w:bidi="ar-SA"/>
              </w:rPr>
            </w:pPr>
            <w:r w:rsidRPr="00F00623">
              <w:rPr>
                <w:sz w:val="24"/>
                <w:lang w:bidi="ar-SA"/>
              </w:rPr>
              <w:t xml:space="preserve">Économiste, </w:t>
            </w:r>
            <w:r>
              <w:rPr>
                <w:sz w:val="24"/>
                <w:lang w:bidi="ar-SA"/>
              </w:rPr>
              <w:t xml:space="preserve">professeur </w:t>
            </w:r>
            <w:r w:rsidRPr="00F00623">
              <w:rPr>
                <w:sz w:val="24"/>
                <w:lang w:bidi="ar-SA"/>
              </w:rPr>
              <w:t>retraité de l’UQÀM</w:t>
            </w:r>
          </w:p>
          <w:p w:rsidR="005C5342" w:rsidRDefault="005C5342">
            <w:pPr>
              <w:ind w:firstLine="0"/>
              <w:jc w:val="center"/>
              <w:rPr>
                <w:lang w:bidi="ar-SA"/>
              </w:rPr>
            </w:pPr>
          </w:p>
          <w:p w:rsidR="005C5342" w:rsidRPr="003F5569" w:rsidRDefault="005C5342">
            <w:pPr>
              <w:pStyle w:val="Corpsdetexte"/>
              <w:widowControl w:val="0"/>
              <w:spacing w:before="0" w:after="0"/>
              <w:rPr>
                <w:sz w:val="36"/>
                <w:lang w:bidi="ar-SA"/>
              </w:rPr>
            </w:pPr>
            <w:r w:rsidRPr="003F5569">
              <w:rPr>
                <w:sz w:val="36"/>
                <w:lang w:bidi="ar-SA"/>
              </w:rPr>
              <w:t>(</w:t>
            </w:r>
            <w:r>
              <w:rPr>
                <w:sz w:val="36"/>
                <w:lang w:bidi="ar-SA"/>
              </w:rPr>
              <w:t>2020</w:t>
            </w:r>
            <w:r w:rsidRPr="003F5569">
              <w:rPr>
                <w:sz w:val="36"/>
                <w:lang w:bidi="ar-SA"/>
              </w:rPr>
              <w:t>)</w:t>
            </w:r>
          </w:p>
          <w:p w:rsidR="005C5342" w:rsidRDefault="005C5342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5C5342" w:rsidRDefault="005C5342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5C5342" w:rsidRDefault="005C5342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5C5342" w:rsidRPr="00831282" w:rsidRDefault="005C5342" w:rsidP="005C5342">
            <w:pPr>
              <w:pStyle w:val="Titlest"/>
            </w:pPr>
            <w:r w:rsidRPr="00831282">
              <w:t>“La Commission</w:t>
            </w:r>
            <w:r w:rsidRPr="00831282">
              <w:br/>
              <w:t>Keable.”</w:t>
            </w:r>
          </w:p>
          <w:p w:rsidR="005C5342" w:rsidRDefault="005C5342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5C5342" w:rsidRDefault="005C5342" w:rsidP="005C5342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5C5342" w:rsidRDefault="005C5342" w:rsidP="005C5342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5C5342" w:rsidRDefault="005C5342" w:rsidP="005C5342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:rsidR="005C5342" w:rsidRPr="00384B20" w:rsidRDefault="005C5342" w:rsidP="005C5342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:rsidR="005C5342" w:rsidRPr="00384B20" w:rsidRDefault="005C5342" w:rsidP="005C5342">
            <w:pPr>
              <w:ind w:firstLine="0"/>
              <w:jc w:val="center"/>
              <w:rPr>
                <w:sz w:val="20"/>
                <w:lang w:bidi="ar-SA"/>
              </w:rPr>
            </w:pPr>
            <w:r w:rsidRPr="00083144">
              <w:rPr>
                <w:b/>
                <w:lang w:bidi="ar-SA"/>
              </w:rPr>
              <w:t>LES CLASSIQUES DES SCIENCES SOCIALES</w:t>
            </w:r>
            <w:r>
              <w:rPr>
                <w:lang w:bidi="ar-SA"/>
              </w:rPr>
              <w:br/>
              <w:t>CHICOUTIMI, QUÉBEC</w:t>
            </w:r>
            <w:r>
              <w:rPr>
                <w:lang w:bidi="ar-SA"/>
              </w:rPr>
              <w:br/>
            </w:r>
            <w:hyperlink r:id="rId7" w:history="1">
              <w:r w:rsidRPr="00302466">
                <w:rPr>
                  <w:rStyle w:val="Lienhypertexte"/>
                  <w:lang w:bidi="ar-SA"/>
                </w:rPr>
                <w:t>http://classiques.uqac.ca/</w:t>
              </w:r>
            </w:hyperlink>
          </w:p>
          <w:p w:rsidR="005C5342" w:rsidRPr="00E07116" w:rsidRDefault="005C5342" w:rsidP="005C534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5C5342" w:rsidRPr="00E07116" w:rsidRDefault="005C5342" w:rsidP="005C534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Pr="00F00623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Pr="00F00623" w:rsidRDefault="005C5342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:rsidR="005C5342" w:rsidRDefault="005C5342">
            <w:pPr>
              <w:ind w:firstLine="0"/>
              <w:jc w:val="both"/>
              <w:rPr>
                <w:lang w:bidi="ar-SA"/>
              </w:rPr>
            </w:pPr>
          </w:p>
        </w:tc>
      </w:tr>
    </w:tbl>
    <w:p w:rsidR="005C5342" w:rsidRDefault="005C5342" w:rsidP="005C5342">
      <w:pPr>
        <w:ind w:firstLine="0"/>
        <w:jc w:val="both"/>
      </w:pPr>
      <w:r>
        <w:br w:type="page"/>
      </w:r>
    </w:p>
    <w:p w:rsidR="005C5342" w:rsidRDefault="005C5342" w:rsidP="005C5342">
      <w:pPr>
        <w:ind w:firstLine="0"/>
        <w:jc w:val="both"/>
      </w:pPr>
    </w:p>
    <w:p w:rsidR="005C5342" w:rsidRDefault="005C5342" w:rsidP="005C5342">
      <w:pPr>
        <w:ind w:firstLine="0"/>
        <w:jc w:val="both"/>
      </w:pPr>
    </w:p>
    <w:p w:rsidR="005C5342" w:rsidRDefault="005C5342" w:rsidP="005C5342">
      <w:pPr>
        <w:ind w:firstLine="0"/>
        <w:jc w:val="both"/>
      </w:pPr>
    </w:p>
    <w:p w:rsidR="005C5342" w:rsidRDefault="00F41604" w:rsidP="005C5342">
      <w:pPr>
        <w:ind w:firstLine="0"/>
        <w:jc w:val="right"/>
      </w:pPr>
      <w:r>
        <w:rPr>
          <w:noProof/>
        </w:rPr>
        <w:drawing>
          <wp:inline distT="0" distB="0" distL="0" distR="0">
            <wp:extent cx="2658110" cy="1042035"/>
            <wp:effectExtent l="0" t="0" r="0" b="0"/>
            <wp:docPr id="1" name="Image 1" descr="css_logo_gr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_logo_gri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42" w:rsidRDefault="005C5342" w:rsidP="005C5342">
      <w:pPr>
        <w:ind w:firstLine="0"/>
        <w:jc w:val="right"/>
      </w:pPr>
      <w:hyperlink r:id="rId9" w:history="1">
        <w:r w:rsidRPr="00302466">
          <w:rPr>
            <w:rStyle w:val="Lienhypertexte"/>
          </w:rPr>
          <w:t>http://classiques.uqac.ca/</w:t>
        </w:r>
      </w:hyperlink>
      <w:r>
        <w:t xml:space="preserve"> </w:t>
      </w:r>
    </w:p>
    <w:p w:rsidR="005C5342" w:rsidRDefault="005C5342" w:rsidP="005C5342">
      <w:pPr>
        <w:ind w:firstLine="0"/>
        <w:jc w:val="both"/>
      </w:pPr>
    </w:p>
    <w:p w:rsidR="005C5342" w:rsidRDefault="005C5342" w:rsidP="005C5342">
      <w:pPr>
        <w:ind w:firstLine="0"/>
        <w:jc w:val="both"/>
      </w:pPr>
      <w:r w:rsidRPr="00D2666B">
        <w:rPr>
          <w:i/>
        </w:rPr>
        <w:t>Les Classiques des sciences sociales</w:t>
      </w:r>
      <w:r>
        <w:t xml:space="preserve"> est une bibliothèque numérique en libre accès, fondée au Cégep de Chicoutimi en 1993 et développée en partenariat avec l’Université du Québec à Chicoutimi (UQÀC) d</w:t>
      </w:r>
      <w:r>
        <w:t>e</w:t>
      </w:r>
      <w:r>
        <w:t>puis 2000.</w:t>
      </w:r>
    </w:p>
    <w:p w:rsidR="005C5342" w:rsidRDefault="005C5342" w:rsidP="005C5342">
      <w:pPr>
        <w:ind w:firstLine="0"/>
        <w:jc w:val="both"/>
      </w:pPr>
    </w:p>
    <w:p w:rsidR="005C5342" w:rsidRDefault="005C5342" w:rsidP="005C5342">
      <w:pPr>
        <w:ind w:firstLine="0"/>
        <w:jc w:val="both"/>
      </w:pPr>
    </w:p>
    <w:p w:rsidR="005C5342" w:rsidRDefault="00F41604" w:rsidP="005C5342">
      <w:pPr>
        <w:ind w:firstLine="0"/>
        <w:jc w:val="both"/>
      </w:pPr>
      <w:r>
        <w:rPr>
          <w:noProof/>
        </w:rPr>
        <w:drawing>
          <wp:inline distT="0" distB="0" distL="0" distR="0">
            <wp:extent cx="2637155" cy="1062990"/>
            <wp:effectExtent l="0" t="0" r="0" b="0"/>
            <wp:docPr id="2" name="Image 2" descr="UQAC_logo_2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AC_logo_201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42" w:rsidRDefault="005C5342" w:rsidP="005C5342">
      <w:pPr>
        <w:ind w:firstLine="0"/>
        <w:jc w:val="both"/>
      </w:pPr>
      <w:hyperlink r:id="rId11" w:history="1">
        <w:r w:rsidRPr="00302466">
          <w:rPr>
            <w:rStyle w:val="Lienhypertexte"/>
          </w:rPr>
          <w:t>http://bibliotheque.uqac.ca/</w:t>
        </w:r>
      </w:hyperlink>
      <w:r>
        <w:t xml:space="preserve"> </w:t>
      </w:r>
    </w:p>
    <w:p w:rsidR="005C5342" w:rsidRDefault="005C5342" w:rsidP="005C5342">
      <w:pPr>
        <w:ind w:firstLine="0"/>
        <w:jc w:val="both"/>
      </w:pPr>
    </w:p>
    <w:p w:rsidR="005C5342" w:rsidRDefault="005C5342" w:rsidP="005C5342">
      <w:pPr>
        <w:ind w:firstLine="0"/>
        <w:jc w:val="both"/>
      </w:pPr>
    </w:p>
    <w:p w:rsidR="005C5342" w:rsidRDefault="005C5342" w:rsidP="005C5342">
      <w:pPr>
        <w:ind w:firstLine="0"/>
        <w:jc w:val="both"/>
      </w:pPr>
      <w:r>
        <w:t>En 2018, Les Classiques des sciences sociales fêteront leur 25</w:t>
      </w:r>
      <w:r w:rsidRPr="00622FDA">
        <w:rPr>
          <w:vertAlign w:val="superscript"/>
        </w:rPr>
        <w:t>e</w:t>
      </w:r>
      <w:r>
        <w:t xml:space="preserve"> ann</w:t>
      </w:r>
      <w:r>
        <w:t>i</w:t>
      </w:r>
      <w:r>
        <w:t>versaire de fondation. Une belle initiative citoyenne.</w:t>
      </w:r>
    </w:p>
    <w:p w:rsidR="005C5342" w:rsidRPr="005E1FF1" w:rsidRDefault="005C5342" w:rsidP="005C5342">
      <w:pPr>
        <w:widowControl w:val="0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E07116">
        <w:br w:type="page"/>
      </w:r>
    </w:p>
    <w:p w:rsidR="005C5342" w:rsidRPr="005E1FF1" w:rsidRDefault="005C5342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8B00"/>
          <w:sz w:val="36"/>
          <w:szCs w:val="36"/>
        </w:rPr>
      </w:pPr>
      <w:r w:rsidRPr="005E1FF1">
        <w:rPr>
          <w:rFonts w:ascii="Arial" w:hAnsi="Arial"/>
          <w:b/>
          <w:color w:val="008B00"/>
          <w:sz w:val="36"/>
          <w:szCs w:val="36"/>
        </w:rPr>
        <w:t>Politique d'utilisation</w:t>
      </w:r>
      <w:r w:rsidRPr="005E1FF1">
        <w:rPr>
          <w:rFonts w:ascii="Arial-BoldMT" w:hAnsi="Arial-BoldMT"/>
          <w:b/>
          <w:color w:val="008B00"/>
          <w:sz w:val="36"/>
          <w:szCs w:val="36"/>
        </w:rPr>
        <w:br/>
      </w:r>
      <w:r w:rsidRPr="005E1FF1">
        <w:rPr>
          <w:rFonts w:ascii="Arial" w:hAnsi="Arial"/>
          <w:b/>
          <w:color w:val="008B00"/>
          <w:sz w:val="36"/>
          <w:szCs w:val="36"/>
        </w:rPr>
        <w:t>de la bibliothèque des Classiques</w:t>
      </w:r>
    </w:p>
    <w:p w:rsidR="005C5342" w:rsidRPr="005E1FF1" w:rsidRDefault="005C5342">
      <w:pPr>
        <w:widowControl w:val="0"/>
        <w:autoSpaceDE w:val="0"/>
        <w:autoSpaceDN w:val="0"/>
        <w:adjustRightInd w:val="0"/>
        <w:rPr>
          <w:rFonts w:ascii="Arial" w:hAnsi="Arial"/>
          <w:sz w:val="32"/>
          <w:szCs w:val="32"/>
        </w:rPr>
      </w:pPr>
    </w:p>
    <w:p w:rsidR="005C5342" w:rsidRPr="005E1FF1" w:rsidRDefault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:rsidR="005C5342" w:rsidRPr="005E1FF1" w:rsidRDefault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:rsidR="005C5342" w:rsidRPr="005E1FF1" w:rsidRDefault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Toute reproduction et rediffusion de nos fichiers est inte</w:t>
      </w:r>
      <w:r w:rsidRPr="005E1FF1">
        <w:rPr>
          <w:rFonts w:ascii="Arial" w:hAnsi="Arial"/>
          <w:color w:val="1C1C1C"/>
          <w:sz w:val="26"/>
          <w:szCs w:val="26"/>
        </w:rPr>
        <w:t>r</w:t>
      </w:r>
      <w:r w:rsidRPr="005E1FF1">
        <w:rPr>
          <w:rFonts w:ascii="Arial" w:hAnsi="Arial"/>
          <w:color w:val="1C1C1C"/>
          <w:sz w:val="26"/>
          <w:szCs w:val="26"/>
        </w:rPr>
        <w:t>dite, même avec la mention de leur provenance, sans l’autorisation fo</w:t>
      </w:r>
      <w:r w:rsidRPr="005E1FF1">
        <w:rPr>
          <w:rFonts w:ascii="Arial" w:hAnsi="Arial"/>
          <w:color w:val="1C1C1C"/>
          <w:sz w:val="26"/>
          <w:szCs w:val="26"/>
        </w:rPr>
        <w:t>r</w:t>
      </w:r>
      <w:r w:rsidRPr="005E1FF1">
        <w:rPr>
          <w:rFonts w:ascii="Arial" w:hAnsi="Arial"/>
          <w:color w:val="1C1C1C"/>
          <w:sz w:val="26"/>
          <w:szCs w:val="26"/>
        </w:rPr>
        <w:t>melle, écrite, du fondateur des Classiques des sciences sociales, Jean-Marie Tremblay, sociologue.</w:t>
      </w:r>
    </w:p>
    <w:p w:rsidR="005C5342" w:rsidRPr="005E1FF1" w:rsidRDefault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:rsidR="005C5342" w:rsidRPr="00F336C5" w:rsidRDefault="005C5342" w:rsidP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F336C5">
        <w:rPr>
          <w:rFonts w:ascii="Arial" w:hAnsi="Arial"/>
          <w:color w:val="1C1C1C"/>
          <w:sz w:val="26"/>
          <w:szCs w:val="26"/>
        </w:rPr>
        <w:t>Les fichiers des Classiques des sciences sociales ne peuvent sans autorisation formelle:</w:t>
      </w:r>
    </w:p>
    <w:p w:rsidR="005C5342" w:rsidRPr="00F336C5" w:rsidRDefault="005C5342" w:rsidP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:rsidR="005C5342" w:rsidRPr="00F336C5" w:rsidRDefault="005C5342" w:rsidP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F336C5">
        <w:rPr>
          <w:rFonts w:ascii="Arial" w:hAnsi="Arial"/>
          <w:color w:val="1C1C1C"/>
          <w:sz w:val="26"/>
          <w:szCs w:val="26"/>
        </w:rPr>
        <w:t>- être hébergés (en fichier ou page web, en totalité ou en partie) sur un serveur autre que celui des Classiques.</w:t>
      </w:r>
    </w:p>
    <w:p w:rsidR="005C5342" w:rsidRPr="00F336C5" w:rsidRDefault="005C5342" w:rsidP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F336C5">
        <w:rPr>
          <w:rFonts w:ascii="Arial" w:hAnsi="Arial"/>
          <w:color w:val="1C1C1C"/>
          <w:sz w:val="26"/>
          <w:szCs w:val="26"/>
        </w:rPr>
        <w:t>- servir de base de travail à un autre fichier modifié ensuite par tout autre moyen (couleur, police, mise en page, extraits, support, etc...),</w:t>
      </w:r>
    </w:p>
    <w:p w:rsidR="005C5342" w:rsidRPr="00F336C5" w:rsidRDefault="005C5342" w:rsidP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:rsidR="005C5342" w:rsidRPr="005E1FF1" w:rsidRDefault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>
        <w:rPr>
          <w:rFonts w:ascii="Arial" w:hAnsi="Arial"/>
          <w:color w:val="1C1C1C"/>
          <w:sz w:val="26"/>
          <w:szCs w:val="26"/>
        </w:rPr>
        <w:t>Les fichiers (.html, .doc, .pdf</w:t>
      </w:r>
      <w:r w:rsidRPr="005E1FF1">
        <w:rPr>
          <w:rFonts w:ascii="Arial" w:hAnsi="Arial"/>
          <w:color w:val="1C1C1C"/>
          <w:sz w:val="26"/>
          <w:szCs w:val="26"/>
        </w:rPr>
        <w:t xml:space="preserve">, .rtf, .jpg, .gif) disponibles sur le site Les Classiques des sciences sociales sont la propriété des </w:t>
      </w:r>
      <w:r w:rsidRPr="00B56B8B">
        <w:rPr>
          <w:rFonts w:ascii="Arial" w:hAnsi="Arial"/>
          <w:b/>
          <w:color w:val="1C1C1C"/>
          <w:sz w:val="26"/>
          <w:szCs w:val="26"/>
        </w:rPr>
        <w:t>Class</w:t>
      </w:r>
      <w:r w:rsidRPr="00B56B8B">
        <w:rPr>
          <w:rFonts w:ascii="Arial" w:hAnsi="Arial"/>
          <w:b/>
          <w:color w:val="1C1C1C"/>
          <w:sz w:val="26"/>
          <w:szCs w:val="26"/>
        </w:rPr>
        <w:t>i</w:t>
      </w:r>
      <w:r w:rsidRPr="00B56B8B">
        <w:rPr>
          <w:rFonts w:ascii="Arial" w:hAnsi="Arial"/>
          <w:b/>
          <w:color w:val="1C1C1C"/>
          <w:sz w:val="26"/>
          <w:szCs w:val="26"/>
        </w:rPr>
        <w:t>ques des sciences sociales</w:t>
      </w:r>
      <w:r w:rsidRPr="005E1FF1">
        <w:rPr>
          <w:rFonts w:ascii="Arial" w:hAnsi="Arial"/>
          <w:color w:val="1C1C1C"/>
          <w:sz w:val="26"/>
          <w:szCs w:val="26"/>
        </w:rPr>
        <w:t>, un organisme à but non lucratif co</w:t>
      </w:r>
      <w:r w:rsidRPr="005E1FF1">
        <w:rPr>
          <w:rFonts w:ascii="Arial" w:hAnsi="Arial"/>
          <w:color w:val="1C1C1C"/>
          <w:sz w:val="26"/>
          <w:szCs w:val="26"/>
        </w:rPr>
        <w:t>m</w:t>
      </w:r>
      <w:r w:rsidRPr="005E1FF1">
        <w:rPr>
          <w:rFonts w:ascii="Arial" w:hAnsi="Arial"/>
          <w:color w:val="1C1C1C"/>
          <w:sz w:val="26"/>
          <w:szCs w:val="26"/>
        </w:rPr>
        <w:t>posé exclusivement de bénévoles.</w:t>
      </w:r>
    </w:p>
    <w:p w:rsidR="005C5342" w:rsidRPr="005E1FF1" w:rsidRDefault="005C5342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:rsidR="005C5342" w:rsidRPr="005E1FF1" w:rsidRDefault="005C5342">
      <w:pPr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Ils sont disponibles pour une utilisation intellectuelle et perso</w:t>
      </w:r>
      <w:r w:rsidRPr="005E1FF1">
        <w:rPr>
          <w:rFonts w:ascii="Arial" w:hAnsi="Arial"/>
          <w:color w:val="1C1C1C"/>
          <w:sz w:val="26"/>
          <w:szCs w:val="26"/>
        </w:rPr>
        <w:t>n</w:t>
      </w:r>
      <w:r w:rsidRPr="005E1FF1">
        <w:rPr>
          <w:rFonts w:ascii="Arial" w:hAnsi="Arial"/>
          <w:color w:val="1C1C1C"/>
          <w:sz w:val="26"/>
          <w:szCs w:val="26"/>
        </w:rPr>
        <w:t>ne</w:t>
      </w:r>
      <w:r w:rsidRPr="005E1FF1">
        <w:rPr>
          <w:rFonts w:ascii="Arial" w:hAnsi="Arial"/>
          <w:color w:val="1C1C1C"/>
          <w:sz w:val="26"/>
          <w:szCs w:val="26"/>
        </w:rPr>
        <w:t>l</w:t>
      </w:r>
      <w:r w:rsidRPr="005E1FF1">
        <w:rPr>
          <w:rFonts w:ascii="Arial" w:hAnsi="Arial"/>
          <w:color w:val="1C1C1C"/>
          <w:sz w:val="26"/>
          <w:szCs w:val="26"/>
        </w:rPr>
        <w:t>le et, en aucun cas, commerciale.</w:t>
      </w:r>
      <w:r w:rsidRPr="00B56B8B">
        <w:rPr>
          <w:rFonts w:ascii="Arial" w:hAnsi="Arial"/>
          <w:color w:val="1C1C1C"/>
          <w:sz w:val="26"/>
          <w:szCs w:val="26"/>
        </w:rPr>
        <w:t xml:space="preserve"> </w:t>
      </w:r>
      <w:r w:rsidRPr="005E1FF1">
        <w:rPr>
          <w:rFonts w:ascii="Arial" w:hAnsi="Arial"/>
          <w:color w:val="1C1C1C"/>
          <w:sz w:val="26"/>
          <w:szCs w:val="26"/>
        </w:rPr>
        <w:t>Toute utilisation à des fins co</w:t>
      </w:r>
      <w:r w:rsidRPr="005E1FF1">
        <w:rPr>
          <w:rFonts w:ascii="Arial" w:hAnsi="Arial"/>
          <w:color w:val="1C1C1C"/>
          <w:sz w:val="26"/>
          <w:szCs w:val="26"/>
        </w:rPr>
        <w:t>m</w:t>
      </w:r>
      <w:r w:rsidRPr="005E1FF1">
        <w:rPr>
          <w:rFonts w:ascii="Arial" w:hAnsi="Arial"/>
          <w:color w:val="1C1C1C"/>
          <w:sz w:val="26"/>
          <w:szCs w:val="26"/>
        </w:rPr>
        <w:t>merciales des fichiers sur ce site est strictement interdite et toute rediffusion est également strictement interdite.</w:t>
      </w:r>
    </w:p>
    <w:p w:rsidR="005C5342" w:rsidRPr="005E1FF1" w:rsidRDefault="005C5342">
      <w:pPr>
        <w:rPr>
          <w:rFonts w:ascii="Arial" w:hAnsi="Arial"/>
          <w:b/>
          <w:color w:val="1C1C1C"/>
          <w:sz w:val="26"/>
          <w:szCs w:val="26"/>
        </w:rPr>
      </w:pPr>
    </w:p>
    <w:p w:rsidR="005C5342" w:rsidRPr="00A51D9C" w:rsidRDefault="005C5342">
      <w:pPr>
        <w:rPr>
          <w:rFonts w:ascii="Arial" w:hAnsi="Arial"/>
          <w:b/>
          <w:color w:val="1C1C1C"/>
          <w:sz w:val="26"/>
          <w:szCs w:val="26"/>
        </w:rPr>
      </w:pPr>
      <w:r w:rsidRPr="00A51D9C">
        <w:rPr>
          <w:rFonts w:ascii="Arial" w:hAnsi="Arial"/>
          <w:b/>
          <w:color w:val="1C1C1C"/>
          <w:sz w:val="26"/>
          <w:szCs w:val="26"/>
        </w:rPr>
        <w:t>L'accès à notre travail est libre et gratuit à tous les utilis</w:t>
      </w:r>
      <w:r w:rsidRPr="00A51D9C">
        <w:rPr>
          <w:rFonts w:ascii="Arial" w:hAnsi="Arial"/>
          <w:b/>
          <w:color w:val="1C1C1C"/>
          <w:sz w:val="26"/>
          <w:szCs w:val="26"/>
        </w:rPr>
        <w:t>a</w:t>
      </w:r>
      <w:r w:rsidRPr="00A51D9C">
        <w:rPr>
          <w:rFonts w:ascii="Arial" w:hAnsi="Arial"/>
          <w:b/>
          <w:color w:val="1C1C1C"/>
          <w:sz w:val="26"/>
          <w:szCs w:val="26"/>
        </w:rPr>
        <w:t>teurs. C'est notre mission.</w:t>
      </w:r>
    </w:p>
    <w:p w:rsidR="005C5342" w:rsidRPr="005E1FF1" w:rsidRDefault="005C5342">
      <w:pPr>
        <w:rPr>
          <w:rFonts w:ascii="Arial" w:hAnsi="Arial"/>
          <w:b/>
          <w:color w:val="1C1C1C"/>
          <w:sz w:val="26"/>
          <w:szCs w:val="26"/>
        </w:rPr>
      </w:pPr>
    </w:p>
    <w:p w:rsidR="005C5342" w:rsidRPr="005E1FF1" w:rsidRDefault="005C5342">
      <w:pPr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Jean-Marie Tremblay, sociologue</w:t>
      </w:r>
    </w:p>
    <w:p w:rsidR="005C5342" w:rsidRPr="005E1FF1" w:rsidRDefault="005C5342">
      <w:pPr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Fondateur et Président-directeur général,</w:t>
      </w:r>
    </w:p>
    <w:p w:rsidR="005C5342" w:rsidRPr="005E1FF1" w:rsidRDefault="005C5342">
      <w:pPr>
        <w:rPr>
          <w:rFonts w:ascii="Arial" w:hAnsi="Arial"/>
          <w:color w:val="000080"/>
        </w:rPr>
      </w:pPr>
      <w:r w:rsidRPr="005E1FF1">
        <w:rPr>
          <w:rFonts w:ascii="Arial" w:hAnsi="Arial"/>
          <w:color w:val="000080"/>
          <w:sz w:val="26"/>
          <w:szCs w:val="26"/>
        </w:rPr>
        <w:t>LES CLASSIQUES DES SCIENCES SOCIALES.</w:t>
      </w:r>
    </w:p>
    <w:p w:rsidR="005C5342" w:rsidRPr="00CF4C8E" w:rsidRDefault="005C5342" w:rsidP="005C5342">
      <w:pPr>
        <w:ind w:firstLine="0"/>
        <w:jc w:val="both"/>
        <w:rPr>
          <w:sz w:val="24"/>
          <w:lang w:bidi="ar-SA"/>
        </w:rPr>
      </w:pPr>
      <w:r>
        <w:br w:type="page"/>
      </w:r>
      <w:r w:rsidRPr="00CF4C8E">
        <w:rPr>
          <w:sz w:val="24"/>
          <w:lang w:bidi="ar-SA"/>
        </w:rPr>
        <w:lastRenderedPageBreak/>
        <w:t>Un document produit en version numérique par Jean-Marie Tremblay, bénévole, professeur associé, Université du Québec à Chicoutimi</w:t>
      </w:r>
    </w:p>
    <w:p w:rsidR="005C5342" w:rsidRPr="00CF4C8E" w:rsidRDefault="005C5342" w:rsidP="005C5342">
      <w:pPr>
        <w:ind w:firstLine="0"/>
        <w:jc w:val="both"/>
        <w:rPr>
          <w:sz w:val="24"/>
          <w:lang w:bidi="ar-SA"/>
        </w:rPr>
      </w:pPr>
      <w:r w:rsidRPr="00CF4C8E">
        <w:rPr>
          <w:sz w:val="24"/>
          <w:lang w:bidi="ar-SA"/>
        </w:rPr>
        <w:t xml:space="preserve">Courriel: </w:t>
      </w:r>
      <w:hyperlink r:id="rId12" w:history="1">
        <w:r w:rsidRPr="000C0AE1">
          <w:rPr>
            <w:rStyle w:val="Lienhypertexte"/>
            <w:sz w:val="24"/>
            <w:lang w:bidi="ar-SA"/>
          </w:rPr>
          <w:t>classiques.sc.soc@gmail.com</w:t>
        </w:r>
      </w:hyperlink>
      <w:r>
        <w:rPr>
          <w:sz w:val="24"/>
          <w:lang w:bidi="ar-SA"/>
        </w:rPr>
        <w:t xml:space="preserve"> </w:t>
      </w:r>
      <w:r w:rsidRPr="00CF4C8E">
        <w:rPr>
          <w:sz w:val="24"/>
          <w:lang w:bidi="ar-SA"/>
        </w:rPr>
        <w:t xml:space="preserve"> </w:t>
      </w:r>
    </w:p>
    <w:p w:rsidR="005C5342" w:rsidRPr="00CF4C8E" w:rsidRDefault="005C5342" w:rsidP="005C5342">
      <w:pPr>
        <w:ind w:left="20" w:hanging="20"/>
        <w:jc w:val="both"/>
        <w:rPr>
          <w:sz w:val="24"/>
        </w:rPr>
      </w:pPr>
      <w:r w:rsidRPr="00CF4C8E">
        <w:rPr>
          <w:sz w:val="24"/>
          <w:lang w:bidi="ar-SA"/>
        </w:rPr>
        <w:t xml:space="preserve">Site web pédagogique : </w:t>
      </w:r>
      <w:hyperlink r:id="rId13" w:history="1">
        <w:r w:rsidRPr="00CF4C8E">
          <w:rPr>
            <w:rStyle w:val="Lienhypertexte"/>
            <w:sz w:val="24"/>
            <w:lang w:bidi="ar-SA"/>
          </w:rPr>
          <w:t>http://jmt-sociologue.uqac.ca/</w:t>
        </w:r>
      </w:hyperlink>
    </w:p>
    <w:p w:rsidR="005C5342" w:rsidRPr="00CF4C8E" w:rsidRDefault="005C5342" w:rsidP="005C5342">
      <w:pPr>
        <w:ind w:left="20" w:hanging="20"/>
        <w:jc w:val="both"/>
        <w:rPr>
          <w:sz w:val="24"/>
        </w:rPr>
      </w:pPr>
      <w:r w:rsidRPr="00CF4C8E">
        <w:rPr>
          <w:sz w:val="24"/>
        </w:rPr>
        <w:t>à partir du texte de :</w:t>
      </w:r>
    </w:p>
    <w:p w:rsidR="005C5342" w:rsidRPr="0058603D" w:rsidRDefault="005C5342" w:rsidP="005C5342">
      <w:pPr>
        <w:ind w:left="20"/>
        <w:jc w:val="both"/>
      </w:pPr>
    </w:p>
    <w:p w:rsidR="005C5342" w:rsidRPr="00D871BA" w:rsidRDefault="005C5342" w:rsidP="005C5342">
      <w:pPr>
        <w:ind w:left="20" w:hanging="20"/>
        <w:jc w:val="both"/>
      </w:pPr>
      <w:r w:rsidRPr="00D871BA">
        <w:t>Louis Gill, économiste québécois</w:t>
      </w:r>
    </w:p>
    <w:p w:rsidR="005C5342" w:rsidRPr="00D871BA" w:rsidRDefault="005C5342" w:rsidP="005C5342">
      <w:pPr>
        <w:ind w:left="20" w:hanging="20"/>
        <w:jc w:val="both"/>
      </w:pPr>
      <w:r w:rsidRPr="00D871BA">
        <w:t>Professeur retraité de l’UQAM</w:t>
      </w:r>
    </w:p>
    <w:p w:rsidR="005C5342" w:rsidRPr="00D871BA" w:rsidRDefault="005C5342" w:rsidP="005C5342">
      <w:pPr>
        <w:ind w:left="20" w:hanging="20"/>
        <w:jc w:val="both"/>
      </w:pPr>
    </w:p>
    <w:p w:rsidR="005C5342" w:rsidRDefault="005C5342" w:rsidP="005C5342">
      <w:pPr>
        <w:ind w:hanging="20"/>
        <w:jc w:val="both"/>
      </w:pPr>
      <w:r w:rsidRPr="0058603D">
        <w:t>“</w:t>
      </w:r>
      <w:r>
        <w:rPr>
          <w:b/>
          <w:color w:val="008000"/>
        </w:rPr>
        <w:t>La Commission Keable.</w:t>
      </w:r>
      <w:r w:rsidRPr="003F5569">
        <w:rPr>
          <w:color w:val="000080"/>
        </w:rPr>
        <w:t>”</w:t>
      </w:r>
    </w:p>
    <w:p w:rsidR="005C5342" w:rsidRDefault="005C5342" w:rsidP="005C5342">
      <w:pPr>
        <w:ind w:hanging="20"/>
        <w:jc w:val="both"/>
      </w:pPr>
    </w:p>
    <w:p w:rsidR="005C5342" w:rsidRPr="001E1334" w:rsidRDefault="005C5342" w:rsidP="005C5342">
      <w:pPr>
        <w:ind w:hanging="20"/>
        <w:jc w:val="both"/>
      </w:pPr>
      <w:r>
        <w:t>Montréal, Québec : le 16 octobre 2020, 5 pp.</w:t>
      </w:r>
    </w:p>
    <w:p w:rsidR="005C5342" w:rsidRPr="00F00623" w:rsidRDefault="005C5342" w:rsidP="005C5342">
      <w:pPr>
        <w:rPr>
          <w:sz w:val="24"/>
        </w:rPr>
      </w:pPr>
    </w:p>
    <w:p w:rsidR="005C5342" w:rsidRPr="00F00623" w:rsidRDefault="005C5342">
      <w:pPr>
        <w:jc w:val="both"/>
        <w:rPr>
          <w:sz w:val="24"/>
        </w:rPr>
      </w:pPr>
      <w:r w:rsidRPr="00F00623">
        <w:rPr>
          <w:sz w:val="24"/>
        </w:rPr>
        <w:t>Louis GILL est économiste et professeur retraité du département de sciences économiques de l'UQÀM où il a œuvré de 1970 à 2001. Tout au cours de cette ca</w:t>
      </w:r>
      <w:r w:rsidRPr="00F00623">
        <w:rPr>
          <w:sz w:val="24"/>
        </w:rPr>
        <w:t>r</w:t>
      </w:r>
      <w:r w:rsidRPr="00F00623">
        <w:rPr>
          <w:sz w:val="24"/>
        </w:rPr>
        <w:t>rière, il a eu une activité syndicale active. Il a publié plusieurs ouvrages, sur la théorie économique marxiste, l'économie internationale, l’économie du soci</w:t>
      </w:r>
      <w:r w:rsidRPr="00F00623">
        <w:rPr>
          <w:sz w:val="24"/>
        </w:rPr>
        <w:t>a</w:t>
      </w:r>
      <w:r w:rsidRPr="00F00623">
        <w:rPr>
          <w:sz w:val="24"/>
        </w:rPr>
        <w:t>li</w:t>
      </w:r>
      <w:r w:rsidRPr="00F00623">
        <w:rPr>
          <w:sz w:val="24"/>
        </w:rPr>
        <w:t>s</w:t>
      </w:r>
      <w:r w:rsidRPr="00F00623">
        <w:rPr>
          <w:sz w:val="24"/>
        </w:rPr>
        <w:t>me, le partenariat social et le néolibéralisme, ainsi que de nombreux essais et art</w:t>
      </w:r>
      <w:r w:rsidRPr="00F00623">
        <w:rPr>
          <w:sz w:val="24"/>
        </w:rPr>
        <w:t>i</w:t>
      </w:r>
      <w:r w:rsidRPr="00F00623">
        <w:rPr>
          <w:sz w:val="24"/>
        </w:rPr>
        <w:t>cles de revues et de journaux sur des questions économiques, politiques, s</w:t>
      </w:r>
      <w:r w:rsidRPr="00F00623">
        <w:rPr>
          <w:sz w:val="24"/>
        </w:rPr>
        <w:t>o</w:t>
      </w:r>
      <w:r w:rsidRPr="00F00623">
        <w:rPr>
          <w:sz w:val="24"/>
        </w:rPr>
        <w:t>ci</w:t>
      </w:r>
      <w:r w:rsidRPr="00F00623">
        <w:rPr>
          <w:sz w:val="24"/>
        </w:rPr>
        <w:t>a</w:t>
      </w:r>
      <w:r w:rsidRPr="00F00623">
        <w:rPr>
          <w:sz w:val="24"/>
        </w:rPr>
        <w:t>les et syndicales.</w:t>
      </w:r>
    </w:p>
    <w:p w:rsidR="005C5342" w:rsidRDefault="005C5342">
      <w:pPr>
        <w:jc w:val="both"/>
        <w:rPr>
          <w:sz w:val="24"/>
        </w:rPr>
      </w:pPr>
    </w:p>
    <w:p w:rsidR="005C5342" w:rsidRPr="00F00623" w:rsidRDefault="005C5342">
      <w:pPr>
        <w:jc w:val="both"/>
        <w:rPr>
          <w:sz w:val="24"/>
        </w:rPr>
      </w:pPr>
    </w:p>
    <w:p w:rsidR="005C5342" w:rsidRPr="00F00623" w:rsidRDefault="005C5342" w:rsidP="005C5342">
      <w:pPr>
        <w:ind w:left="20"/>
        <w:jc w:val="both"/>
        <w:rPr>
          <w:sz w:val="24"/>
        </w:rPr>
      </w:pPr>
      <w:r w:rsidRPr="00F00623">
        <w:rPr>
          <w:sz w:val="24"/>
        </w:rPr>
        <w:t xml:space="preserve">[Autorisation formelle accordée par l’auteur le </w:t>
      </w:r>
      <w:r>
        <w:rPr>
          <w:sz w:val="24"/>
        </w:rPr>
        <w:t>28 août 2021</w:t>
      </w:r>
      <w:r w:rsidRPr="00F00623">
        <w:rPr>
          <w:sz w:val="24"/>
        </w:rPr>
        <w:t xml:space="preserve"> de diffuser cet article</w:t>
      </w:r>
      <w:r>
        <w:rPr>
          <w:sz w:val="24"/>
        </w:rPr>
        <w:t xml:space="preserve"> en accès libre à tous</w:t>
      </w:r>
      <w:r w:rsidRPr="00F00623">
        <w:rPr>
          <w:sz w:val="24"/>
        </w:rPr>
        <w:t xml:space="preserve"> dans Les Classiques des sciences sociales.]</w:t>
      </w:r>
    </w:p>
    <w:p w:rsidR="005C5342" w:rsidRPr="00F00623" w:rsidRDefault="005C5342">
      <w:pPr>
        <w:jc w:val="both"/>
        <w:rPr>
          <w:sz w:val="24"/>
        </w:rPr>
      </w:pPr>
    </w:p>
    <w:p w:rsidR="005C5342" w:rsidRPr="00F00623" w:rsidRDefault="00F41604" w:rsidP="005C5342">
      <w:pPr>
        <w:ind w:firstLine="0"/>
        <w:rPr>
          <w:sz w:val="24"/>
        </w:rPr>
      </w:pPr>
      <w:r w:rsidRPr="00F00623">
        <w:rPr>
          <w:noProof/>
          <w:sz w:val="24"/>
        </w:rPr>
        <w:drawing>
          <wp:inline distT="0" distB="0" distL="0" distR="0">
            <wp:extent cx="255270" cy="255270"/>
            <wp:effectExtent l="0" t="0" r="0" b="0"/>
            <wp:docPr id="3" name="Image 3" descr="Boite_aux_lettres_cla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ite_aux_lettres_clair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342" w:rsidRPr="00F00623">
        <w:rPr>
          <w:sz w:val="24"/>
        </w:rPr>
        <w:t xml:space="preserve"> Courriel :</w:t>
      </w:r>
      <w:r w:rsidR="005C5342">
        <w:rPr>
          <w:sz w:val="24"/>
        </w:rPr>
        <w:t xml:space="preserve"> Louis GILL :</w:t>
      </w:r>
      <w:r w:rsidR="005C5342" w:rsidRPr="00F00623">
        <w:rPr>
          <w:sz w:val="24"/>
        </w:rPr>
        <w:t xml:space="preserve"> </w:t>
      </w:r>
      <w:hyperlink r:id="rId15" w:history="1">
        <w:r w:rsidR="005C5342" w:rsidRPr="00F00623">
          <w:rPr>
            <w:rStyle w:val="Lienhypertexte"/>
            <w:sz w:val="24"/>
          </w:rPr>
          <w:t>gill.louis@uqam.ca</w:t>
        </w:r>
      </w:hyperlink>
    </w:p>
    <w:p w:rsidR="005C5342" w:rsidRPr="00F00623" w:rsidRDefault="005C5342">
      <w:pPr>
        <w:ind w:right="1800"/>
        <w:jc w:val="both"/>
        <w:rPr>
          <w:sz w:val="24"/>
        </w:rPr>
      </w:pPr>
    </w:p>
    <w:p w:rsidR="005C5342" w:rsidRPr="00F00623" w:rsidRDefault="005C5342" w:rsidP="005C5342">
      <w:pPr>
        <w:ind w:right="1800" w:firstLine="0"/>
        <w:jc w:val="both"/>
        <w:rPr>
          <w:sz w:val="24"/>
        </w:rPr>
      </w:pPr>
      <w:r>
        <w:rPr>
          <w:sz w:val="24"/>
        </w:rPr>
        <w:t>Police</w:t>
      </w:r>
      <w:r w:rsidRPr="00F00623">
        <w:rPr>
          <w:sz w:val="24"/>
        </w:rPr>
        <w:t xml:space="preserve"> de caractères utilisé</w:t>
      </w:r>
      <w:r>
        <w:rPr>
          <w:sz w:val="24"/>
        </w:rPr>
        <w:t>s</w:t>
      </w:r>
      <w:r w:rsidRPr="00F00623">
        <w:rPr>
          <w:sz w:val="24"/>
        </w:rPr>
        <w:t xml:space="preserve"> : </w:t>
      </w:r>
      <w:r>
        <w:rPr>
          <w:sz w:val="24"/>
        </w:rPr>
        <w:t>Times New Roman</w:t>
      </w:r>
      <w:r w:rsidRPr="00F00623">
        <w:rPr>
          <w:sz w:val="24"/>
        </w:rPr>
        <w:t>, 1</w:t>
      </w:r>
      <w:r>
        <w:rPr>
          <w:sz w:val="24"/>
        </w:rPr>
        <w:t>4</w:t>
      </w:r>
      <w:r w:rsidRPr="00F00623">
        <w:rPr>
          <w:sz w:val="24"/>
        </w:rPr>
        <w:t xml:space="preserve"> points.</w:t>
      </w:r>
    </w:p>
    <w:p w:rsidR="005C5342" w:rsidRPr="00F00623" w:rsidRDefault="005C5342" w:rsidP="005C5342">
      <w:pPr>
        <w:ind w:right="1800" w:firstLine="0"/>
        <w:jc w:val="both"/>
        <w:rPr>
          <w:sz w:val="24"/>
        </w:rPr>
      </w:pPr>
    </w:p>
    <w:p w:rsidR="005C5342" w:rsidRPr="00F00623" w:rsidRDefault="005C5342" w:rsidP="005C5342">
      <w:pPr>
        <w:ind w:right="360" w:firstLine="0"/>
        <w:jc w:val="both"/>
        <w:rPr>
          <w:sz w:val="24"/>
        </w:rPr>
      </w:pPr>
      <w:r w:rsidRPr="00F00623">
        <w:rPr>
          <w:sz w:val="24"/>
        </w:rPr>
        <w:t>Édition électronique réalisée avec le traitement de textes Microsoft Word 2008 pour Macintosh.</w:t>
      </w:r>
    </w:p>
    <w:p w:rsidR="005C5342" w:rsidRPr="00F00623" w:rsidRDefault="005C5342" w:rsidP="005C5342">
      <w:pPr>
        <w:ind w:right="1800" w:firstLine="0"/>
        <w:jc w:val="both"/>
        <w:rPr>
          <w:sz w:val="24"/>
        </w:rPr>
      </w:pPr>
    </w:p>
    <w:p w:rsidR="005C5342" w:rsidRPr="00F00623" w:rsidRDefault="005C5342" w:rsidP="005C5342">
      <w:pPr>
        <w:ind w:right="270" w:firstLine="0"/>
        <w:jc w:val="both"/>
        <w:rPr>
          <w:sz w:val="24"/>
        </w:rPr>
      </w:pPr>
      <w:r w:rsidRPr="00F00623">
        <w:rPr>
          <w:sz w:val="24"/>
        </w:rPr>
        <w:t>Mise en page sur papier format : LETTRE US, 8.5’’ x 11’’.</w:t>
      </w:r>
    </w:p>
    <w:p w:rsidR="005C5342" w:rsidRPr="00F00623" w:rsidRDefault="005C5342" w:rsidP="005C5342">
      <w:pPr>
        <w:ind w:right="1800" w:firstLine="0"/>
        <w:jc w:val="both"/>
        <w:rPr>
          <w:sz w:val="24"/>
        </w:rPr>
      </w:pPr>
    </w:p>
    <w:p w:rsidR="005C5342" w:rsidRPr="00F00623" w:rsidRDefault="005C5342" w:rsidP="005C5342">
      <w:pPr>
        <w:ind w:firstLine="0"/>
        <w:jc w:val="both"/>
        <w:rPr>
          <w:sz w:val="24"/>
        </w:rPr>
      </w:pPr>
      <w:r w:rsidRPr="00F00623">
        <w:rPr>
          <w:sz w:val="24"/>
        </w:rPr>
        <w:t xml:space="preserve">Édition numérique réalisée le </w:t>
      </w:r>
      <w:r>
        <w:rPr>
          <w:sz w:val="24"/>
        </w:rPr>
        <w:t xml:space="preserve">11 mai 2021 </w:t>
      </w:r>
      <w:r w:rsidRPr="00F00623">
        <w:rPr>
          <w:sz w:val="24"/>
        </w:rPr>
        <w:t>à Chico</w:t>
      </w:r>
      <w:r w:rsidRPr="00F00623">
        <w:rPr>
          <w:sz w:val="24"/>
        </w:rPr>
        <w:t>u</w:t>
      </w:r>
      <w:r>
        <w:rPr>
          <w:sz w:val="24"/>
        </w:rPr>
        <w:t>timi</w:t>
      </w:r>
      <w:r w:rsidRPr="00F00623">
        <w:rPr>
          <w:sz w:val="24"/>
        </w:rPr>
        <w:t>, Québec.</w:t>
      </w:r>
    </w:p>
    <w:p w:rsidR="005C5342" w:rsidRPr="00F00623" w:rsidRDefault="005C5342">
      <w:pPr>
        <w:ind w:right="1800" w:firstLine="0"/>
        <w:jc w:val="both"/>
        <w:rPr>
          <w:sz w:val="24"/>
        </w:rPr>
      </w:pPr>
    </w:p>
    <w:p w:rsidR="005C5342" w:rsidRDefault="00F41604">
      <w:pPr>
        <w:ind w:right="1800" w:firstLine="0"/>
        <w:jc w:val="both"/>
      </w:pPr>
      <w:r>
        <w:rPr>
          <w:noProof/>
        </w:rPr>
        <w:drawing>
          <wp:inline distT="0" distB="0" distL="0" distR="0">
            <wp:extent cx="1116330" cy="393700"/>
            <wp:effectExtent l="0" t="0" r="0" b="0"/>
            <wp:docPr id="4" name="Image 4" descr="fait_sur_m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it_sur_mac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42" w:rsidRDefault="005C5342" w:rsidP="005C5342">
      <w:pPr>
        <w:ind w:left="20"/>
        <w:jc w:val="both"/>
      </w:pPr>
      <w:r>
        <w:br w:type="page"/>
      </w:r>
    </w:p>
    <w:p w:rsidR="005C5342" w:rsidRDefault="005C5342">
      <w:pPr>
        <w:ind w:left="20"/>
        <w:jc w:val="both"/>
      </w:pPr>
    </w:p>
    <w:p w:rsidR="005C5342" w:rsidRPr="008C51C4" w:rsidRDefault="005C5342" w:rsidP="005C5342">
      <w:pPr>
        <w:ind w:firstLine="0"/>
        <w:jc w:val="center"/>
        <w:rPr>
          <w:sz w:val="36"/>
        </w:rPr>
      </w:pPr>
      <w:r w:rsidRPr="008C51C4">
        <w:rPr>
          <w:sz w:val="36"/>
        </w:rPr>
        <w:t>Louis Gill</w:t>
      </w:r>
    </w:p>
    <w:p w:rsidR="005C5342" w:rsidRPr="00F00623" w:rsidRDefault="005C5342" w:rsidP="005C5342">
      <w:pPr>
        <w:ind w:firstLine="0"/>
        <w:jc w:val="center"/>
        <w:rPr>
          <w:sz w:val="24"/>
        </w:rPr>
      </w:pPr>
      <w:r w:rsidRPr="00F00623">
        <w:rPr>
          <w:sz w:val="24"/>
        </w:rPr>
        <w:t>[économiste, retraité de l’UQÀM.]</w:t>
      </w:r>
    </w:p>
    <w:p w:rsidR="005C5342" w:rsidRDefault="005C5342" w:rsidP="005C5342">
      <w:pPr>
        <w:ind w:firstLine="0"/>
        <w:jc w:val="center"/>
      </w:pPr>
    </w:p>
    <w:p w:rsidR="005C5342" w:rsidRPr="00F4237A" w:rsidRDefault="005C5342" w:rsidP="005C5342">
      <w:pPr>
        <w:ind w:firstLine="0"/>
        <w:jc w:val="center"/>
        <w:rPr>
          <w:color w:val="000080"/>
          <w:sz w:val="36"/>
        </w:rPr>
      </w:pPr>
      <w:r w:rsidRPr="00F4237A">
        <w:rPr>
          <w:color w:val="000080"/>
          <w:sz w:val="36"/>
        </w:rPr>
        <w:t>“</w:t>
      </w:r>
      <w:r>
        <w:rPr>
          <w:color w:val="000080"/>
          <w:sz w:val="36"/>
        </w:rPr>
        <w:t>La Commission Keable.</w:t>
      </w:r>
      <w:r w:rsidRPr="00F4237A">
        <w:rPr>
          <w:color w:val="000080"/>
          <w:sz w:val="36"/>
        </w:rPr>
        <w:t>”</w:t>
      </w:r>
    </w:p>
    <w:p w:rsidR="005C5342" w:rsidRDefault="005C5342" w:rsidP="005C5342">
      <w:pPr>
        <w:ind w:firstLine="0"/>
        <w:jc w:val="center"/>
      </w:pPr>
    </w:p>
    <w:p w:rsidR="005C5342" w:rsidRDefault="00F41604" w:rsidP="005C5342">
      <w:pPr>
        <w:ind w:firstLine="0"/>
        <w:jc w:val="center"/>
      </w:pPr>
      <w:r>
        <w:rPr>
          <w:noProof/>
        </w:rPr>
        <w:drawing>
          <wp:inline distT="0" distB="0" distL="0" distR="0">
            <wp:extent cx="3509010" cy="4305935"/>
            <wp:effectExtent l="0" t="0" r="0" b="0"/>
            <wp:docPr id="5" name="Image 5" descr="La_Commission_Keable_L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_Commission_Keable_L2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42" w:rsidRDefault="005C5342" w:rsidP="005C5342">
      <w:pPr>
        <w:ind w:firstLine="0"/>
        <w:jc w:val="center"/>
      </w:pPr>
    </w:p>
    <w:p w:rsidR="005C5342" w:rsidRDefault="005C5342" w:rsidP="005C5342">
      <w:pPr>
        <w:ind w:firstLine="0"/>
        <w:jc w:val="center"/>
      </w:pPr>
      <w:r>
        <w:t>Montréal, Québec : le 16 octobre 2020, 5 pp.</w:t>
      </w:r>
    </w:p>
    <w:p w:rsidR="005C5342" w:rsidRDefault="005C5342">
      <w:pPr>
        <w:jc w:val="both"/>
      </w:pPr>
      <w:r>
        <w:br w:type="page"/>
      </w:r>
    </w:p>
    <w:p w:rsidR="005C5342" w:rsidRDefault="005C5342">
      <w:pPr>
        <w:jc w:val="both"/>
      </w:pPr>
    </w:p>
    <w:p w:rsidR="005C5342" w:rsidRPr="0058603D" w:rsidRDefault="005C5342" w:rsidP="005C5342">
      <w:pPr>
        <w:ind w:left="20" w:hanging="20"/>
        <w:jc w:val="center"/>
      </w:pPr>
      <w:r w:rsidRPr="0058603D">
        <w:t>Louis Gill</w:t>
      </w:r>
    </w:p>
    <w:p w:rsidR="005C5342" w:rsidRPr="00F4237A" w:rsidRDefault="005C5342" w:rsidP="005C5342">
      <w:pPr>
        <w:ind w:firstLine="0"/>
        <w:jc w:val="center"/>
        <w:rPr>
          <w:color w:val="000080"/>
          <w:sz w:val="36"/>
        </w:rPr>
      </w:pPr>
      <w:r w:rsidRPr="00F4237A">
        <w:rPr>
          <w:color w:val="000080"/>
          <w:sz w:val="36"/>
        </w:rPr>
        <w:t>“</w:t>
      </w:r>
      <w:r>
        <w:rPr>
          <w:color w:val="000080"/>
          <w:sz w:val="36"/>
        </w:rPr>
        <w:t>La Commission Keable.</w:t>
      </w:r>
      <w:r w:rsidRPr="00F4237A">
        <w:rPr>
          <w:color w:val="000080"/>
          <w:sz w:val="36"/>
        </w:rPr>
        <w:t>”</w:t>
      </w:r>
    </w:p>
    <w:p w:rsidR="005C5342" w:rsidRDefault="005C5342" w:rsidP="005C5342">
      <w:pPr>
        <w:ind w:firstLine="0"/>
        <w:jc w:val="center"/>
      </w:pPr>
    </w:p>
    <w:p w:rsidR="005C5342" w:rsidRDefault="005C5342" w:rsidP="005C5342">
      <w:pPr>
        <w:ind w:firstLine="0"/>
        <w:jc w:val="center"/>
      </w:pPr>
      <w:r>
        <w:t>Montréal, Québec : le 16 octobre 2020, 5 pp.</w:t>
      </w:r>
    </w:p>
    <w:p w:rsidR="005C5342" w:rsidRDefault="005C5342">
      <w:pPr>
        <w:jc w:val="both"/>
      </w:pPr>
    </w:p>
    <w:p w:rsidR="005C5342" w:rsidRDefault="005C5342">
      <w:pPr>
        <w:jc w:val="both"/>
      </w:pPr>
    </w:p>
    <w:p w:rsidR="005C5342" w:rsidRPr="005B383F" w:rsidRDefault="005C5342" w:rsidP="005C5342">
      <w:pPr>
        <w:spacing w:before="120" w:after="120"/>
        <w:jc w:val="both"/>
        <w:rPr>
          <w:bCs/>
        </w:rPr>
      </w:pP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 xml:space="preserve">La </w:t>
      </w:r>
      <w:r w:rsidRPr="005B383F">
        <w:rPr>
          <w:bCs/>
          <w:i/>
          <w:iCs/>
        </w:rPr>
        <w:t>Commission d’enquête sur des opérations policières en territo</w:t>
      </w:r>
      <w:r w:rsidRPr="005B383F">
        <w:rPr>
          <w:bCs/>
          <w:i/>
          <w:iCs/>
        </w:rPr>
        <w:t>i</w:t>
      </w:r>
      <w:r w:rsidRPr="005B383F">
        <w:rPr>
          <w:bCs/>
          <w:i/>
          <w:iCs/>
        </w:rPr>
        <w:t>re québ</w:t>
      </w:r>
      <w:r w:rsidRPr="005B383F">
        <w:rPr>
          <w:bCs/>
          <w:i/>
          <w:iCs/>
        </w:rPr>
        <w:t>é</w:t>
      </w:r>
      <w:r w:rsidRPr="005B383F">
        <w:rPr>
          <w:bCs/>
          <w:i/>
          <w:iCs/>
        </w:rPr>
        <w:t>cois</w:t>
      </w:r>
      <w:r w:rsidRPr="005B383F">
        <w:rPr>
          <w:bCs/>
        </w:rPr>
        <w:t>, ou Commission Keable, du nom du commissaire Jean Keable qui l’a présidée, a été créée le 15 juin 1977 par le gouvern</w:t>
      </w:r>
      <w:r w:rsidRPr="005B383F">
        <w:rPr>
          <w:bCs/>
        </w:rPr>
        <w:t>e</w:t>
      </w:r>
      <w:r w:rsidRPr="005B383F">
        <w:rPr>
          <w:bCs/>
        </w:rPr>
        <w:t>ment du Québec. Son mandat initial était de faire la l</w:t>
      </w:r>
      <w:r w:rsidRPr="005B383F">
        <w:rPr>
          <w:bCs/>
        </w:rPr>
        <w:t>u</w:t>
      </w:r>
      <w:r w:rsidRPr="005B383F">
        <w:rPr>
          <w:bCs/>
        </w:rPr>
        <w:t>mière sur la perquisition illégale, effectuée en octobre 1972 par une unité d’intervention formée de membres des trois principaux corps policiers œuvrant au Québec (</w:t>
      </w:r>
      <w:r w:rsidRPr="005B383F">
        <w:rPr>
          <w:bCs/>
          <w:i/>
          <w:iCs/>
        </w:rPr>
        <w:t>Gendarmerie Royale du Canada</w:t>
      </w:r>
      <w:r w:rsidRPr="005B383F">
        <w:rPr>
          <w:bCs/>
        </w:rPr>
        <w:t xml:space="preserve">, </w:t>
      </w:r>
      <w:r w:rsidRPr="005B383F">
        <w:rPr>
          <w:bCs/>
          <w:i/>
          <w:iCs/>
        </w:rPr>
        <w:t>Sûreté du Qu</w:t>
      </w:r>
      <w:r w:rsidRPr="005B383F">
        <w:rPr>
          <w:bCs/>
          <w:i/>
          <w:iCs/>
        </w:rPr>
        <w:t>é</w:t>
      </w:r>
      <w:r w:rsidRPr="005B383F">
        <w:rPr>
          <w:bCs/>
          <w:i/>
          <w:iCs/>
        </w:rPr>
        <w:t>bec</w:t>
      </w:r>
      <w:r w:rsidRPr="005B383F">
        <w:rPr>
          <w:bCs/>
        </w:rPr>
        <w:t xml:space="preserve"> et </w:t>
      </w:r>
      <w:r w:rsidRPr="005B383F">
        <w:rPr>
          <w:bCs/>
          <w:i/>
          <w:iCs/>
        </w:rPr>
        <w:t>Service de police de la Ville de Montréal</w:t>
      </w:r>
      <w:r w:rsidRPr="005B383F">
        <w:rPr>
          <w:bCs/>
        </w:rPr>
        <w:t>), dans les locaux o</w:t>
      </w:r>
      <w:r w:rsidRPr="005B383F">
        <w:rPr>
          <w:bCs/>
        </w:rPr>
        <w:t>c</w:t>
      </w:r>
      <w:r w:rsidRPr="005B383F">
        <w:rPr>
          <w:bCs/>
        </w:rPr>
        <w:t>cupés par l’</w:t>
      </w:r>
      <w:r w:rsidRPr="005B383F">
        <w:rPr>
          <w:bCs/>
          <w:i/>
          <w:iCs/>
        </w:rPr>
        <w:t>Agence de presse libre du Québec</w:t>
      </w:r>
      <w:r w:rsidRPr="005B383F">
        <w:rPr>
          <w:bCs/>
        </w:rPr>
        <w:t xml:space="preserve"> (APLQ) et du </w:t>
      </w:r>
      <w:r w:rsidRPr="005B383F">
        <w:rPr>
          <w:bCs/>
          <w:i/>
          <w:iCs/>
        </w:rPr>
        <w:t>Mouv</w:t>
      </w:r>
      <w:r w:rsidRPr="005B383F">
        <w:rPr>
          <w:bCs/>
          <w:i/>
          <w:iCs/>
        </w:rPr>
        <w:t>e</w:t>
      </w:r>
      <w:r w:rsidRPr="005B383F">
        <w:rPr>
          <w:bCs/>
          <w:i/>
          <w:iCs/>
        </w:rPr>
        <w:t>ment de défense des prisonniers politiques du Québec</w:t>
      </w:r>
      <w:r w:rsidRPr="005B383F">
        <w:rPr>
          <w:bCs/>
        </w:rPr>
        <w:t xml:space="preserve"> (MDPPQ). Ce</w:t>
      </w:r>
      <w:r w:rsidRPr="005B383F">
        <w:rPr>
          <w:bCs/>
        </w:rPr>
        <w:t>t</w:t>
      </w:r>
      <w:r w:rsidRPr="005B383F">
        <w:rPr>
          <w:bCs/>
        </w:rPr>
        <w:t xml:space="preserve">te opération illégale, du nom de code </w:t>
      </w:r>
      <w:r w:rsidRPr="005B383F">
        <w:rPr>
          <w:bCs/>
          <w:i/>
          <w:iCs/>
        </w:rPr>
        <w:t>Op</w:t>
      </w:r>
      <w:r w:rsidRPr="005B383F">
        <w:rPr>
          <w:bCs/>
          <w:i/>
          <w:iCs/>
        </w:rPr>
        <w:t>é</w:t>
      </w:r>
      <w:r w:rsidRPr="005B383F">
        <w:rPr>
          <w:bCs/>
          <w:i/>
          <w:iCs/>
        </w:rPr>
        <w:t>ration Bricole</w:t>
      </w:r>
      <w:r w:rsidRPr="005B383F">
        <w:rPr>
          <w:bCs/>
        </w:rPr>
        <w:t>, faisait partie d’un ensemble d’interventions dés</w:t>
      </w:r>
      <w:r w:rsidRPr="005B383F">
        <w:rPr>
          <w:bCs/>
        </w:rPr>
        <w:t>i</w:t>
      </w:r>
      <w:r w:rsidRPr="005B383F">
        <w:rPr>
          <w:bCs/>
        </w:rPr>
        <w:t xml:space="preserve">gnées par la GRC comme des </w:t>
      </w:r>
      <w:bookmarkStart w:id="1" w:name="_Hlk47534329"/>
      <w:r w:rsidRPr="005B383F">
        <w:rPr>
          <w:bCs/>
        </w:rPr>
        <w:t>«</w:t>
      </w:r>
      <w:bookmarkEnd w:id="1"/>
      <w:r w:rsidRPr="005B383F">
        <w:rPr>
          <w:bCs/>
        </w:rPr>
        <w:t> tactiques de neutralisation ou de déstabilisation » (</w:t>
      </w:r>
      <w:r w:rsidRPr="005B383F">
        <w:rPr>
          <w:bCs/>
          <w:i/>
          <w:iCs/>
        </w:rPr>
        <w:t>disruptive tactics</w:t>
      </w:r>
      <w:r w:rsidRPr="005B383F">
        <w:rPr>
          <w:bCs/>
        </w:rPr>
        <w:t>) visant des organisations fav</w:t>
      </w:r>
      <w:r w:rsidRPr="005B383F">
        <w:rPr>
          <w:bCs/>
        </w:rPr>
        <w:t>o</w:t>
      </w:r>
      <w:r w:rsidRPr="005B383F">
        <w:rPr>
          <w:bCs/>
        </w:rPr>
        <w:t>rables à l’indépendance du Québec.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La GRC a poussé la délinquance jusqu’à procéder à l’enlèvement d’un jeune stagiaire d’un bureau d’avocats progre</w:t>
      </w:r>
      <w:r w:rsidRPr="005B383F">
        <w:rPr>
          <w:bCs/>
        </w:rPr>
        <w:t>s</w:t>
      </w:r>
      <w:r w:rsidRPr="005B383F">
        <w:rPr>
          <w:bCs/>
        </w:rPr>
        <w:t xml:space="preserve">sistes regroupés autour de l’avocat du FLQ, Robert Lemieux, connu comme la </w:t>
      </w:r>
      <w:r w:rsidRPr="005B383F">
        <w:rPr>
          <w:bCs/>
          <w:i/>
          <w:iCs/>
        </w:rPr>
        <w:t>Co</w:t>
      </w:r>
      <w:r w:rsidRPr="005B383F">
        <w:rPr>
          <w:bCs/>
          <w:i/>
          <w:iCs/>
        </w:rPr>
        <w:t>m</w:t>
      </w:r>
      <w:r w:rsidRPr="005B383F">
        <w:rPr>
          <w:bCs/>
          <w:i/>
          <w:iCs/>
        </w:rPr>
        <w:t>mune juridique</w:t>
      </w:r>
      <w:r w:rsidRPr="005B383F">
        <w:rPr>
          <w:bCs/>
        </w:rPr>
        <w:t>, qui œuvrait en lien avec le MDPPQ, et à tenter de lui soutirer des renseign</w:t>
      </w:r>
      <w:r w:rsidRPr="005B383F">
        <w:rPr>
          <w:bCs/>
        </w:rPr>
        <w:t>e</w:t>
      </w:r>
      <w:r w:rsidRPr="005B383F">
        <w:rPr>
          <w:bCs/>
        </w:rPr>
        <w:t>ments sous la contrainte physique.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 xml:space="preserve">Dans un rapport secret daté du 16 décembre 1970 intitulé </w:t>
      </w:r>
      <w:r w:rsidRPr="005B383F">
        <w:rPr>
          <w:bCs/>
          <w:i/>
        </w:rPr>
        <w:t>R.C.M.P. str</w:t>
      </w:r>
      <w:r w:rsidRPr="005B383F">
        <w:rPr>
          <w:bCs/>
          <w:i/>
        </w:rPr>
        <w:t>a</w:t>
      </w:r>
      <w:r w:rsidRPr="005B383F">
        <w:rPr>
          <w:bCs/>
          <w:i/>
        </w:rPr>
        <w:t>tegy for dealing with the FLQ and similar movements</w:t>
      </w:r>
      <w:r w:rsidRPr="005B383F">
        <w:rPr>
          <w:bCs/>
        </w:rPr>
        <w:t xml:space="preserve"> (Stratégie de la GRC pour faire face au FLQ et à des mouvements semblables), la GRC annonçait déjà ces pratiques illégales en d</w:t>
      </w:r>
      <w:r w:rsidRPr="005B383F">
        <w:rPr>
          <w:bCs/>
        </w:rPr>
        <w:t>i</w:t>
      </w:r>
      <w:r w:rsidRPr="005B383F">
        <w:rPr>
          <w:bCs/>
        </w:rPr>
        <w:t>sant estimer que « </w:t>
      </w:r>
      <w:r w:rsidRPr="005B383F">
        <w:rPr>
          <w:bCs/>
          <w:i/>
        </w:rPr>
        <w:t>des efforts additionnels d</w:t>
      </w:r>
      <w:r w:rsidRPr="005B383F">
        <w:rPr>
          <w:bCs/>
          <w:i/>
        </w:rPr>
        <w:t>e</w:t>
      </w:r>
      <w:r w:rsidRPr="005B383F">
        <w:rPr>
          <w:bCs/>
          <w:i/>
        </w:rPr>
        <w:t>vraient être déployés en vue d’infiltrer des mouvements comme le FLQ au moyen de sources humaines et techn</w:t>
      </w:r>
      <w:r w:rsidRPr="005B383F">
        <w:rPr>
          <w:bCs/>
          <w:i/>
        </w:rPr>
        <w:t>i</w:t>
      </w:r>
      <w:r w:rsidRPr="005B383F">
        <w:rPr>
          <w:bCs/>
          <w:i/>
        </w:rPr>
        <w:t>ques</w:t>
      </w:r>
      <w:r w:rsidRPr="005B383F">
        <w:rPr>
          <w:bCs/>
        </w:rPr>
        <w:t xml:space="preserve"> », ses tentatives d’infiltration n’ayant connu jusqu’alors qu’un </w:t>
      </w:r>
      <w:r w:rsidRPr="005B383F">
        <w:rPr>
          <w:bCs/>
        </w:rPr>
        <w:lastRenderedPageBreak/>
        <w:t>succès mitigé</w:t>
      </w:r>
      <w:r>
        <w:rPr>
          <w:bCs/>
        </w:rPr>
        <w:t> </w:t>
      </w:r>
      <w:r>
        <w:rPr>
          <w:rStyle w:val="Appelnotedebasdep"/>
          <w:bCs/>
        </w:rPr>
        <w:footnoteReference w:id="1"/>
      </w:r>
      <w:r w:rsidRPr="005B383F">
        <w:rPr>
          <w:bCs/>
        </w:rPr>
        <w:t>. Elle précisait dans les te</w:t>
      </w:r>
      <w:r w:rsidRPr="005B383F">
        <w:rPr>
          <w:bCs/>
        </w:rPr>
        <w:t>r</w:t>
      </w:r>
      <w:r w:rsidRPr="005B383F">
        <w:rPr>
          <w:bCs/>
        </w:rPr>
        <w:t>mes suivants la nature de ces efforts additionnels :</w:t>
      </w:r>
    </w:p>
    <w:p w:rsidR="005C5342" w:rsidRDefault="005C5342" w:rsidP="005C5342">
      <w:pPr>
        <w:pStyle w:val="Grillecouleur-Accent1"/>
      </w:pPr>
    </w:p>
    <w:p w:rsidR="005C5342" w:rsidRDefault="005C5342" w:rsidP="005C5342">
      <w:pPr>
        <w:pStyle w:val="Grillecouleur-Accent1"/>
      </w:pPr>
      <w:r w:rsidRPr="005B383F">
        <w:t>Le plus grand obstacle à l’infiltration efficace par des sources h</w:t>
      </w:r>
      <w:r w:rsidRPr="005B383F">
        <w:t>u</w:t>
      </w:r>
      <w:r w:rsidRPr="005B383F">
        <w:t>maines de la GRC est le problème que soulève la nécessité […] de commettre des cr</w:t>
      </w:r>
      <w:r w:rsidRPr="005B383F">
        <w:t>i</w:t>
      </w:r>
      <w:r w:rsidRPr="005B383F">
        <w:t>mes graves afin d’établir leur bonne foi auprès des membres de l’organisation qu’ils tentent d’infiltrer. Cette nécessité comporte, entre a</w:t>
      </w:r>
      <w:r w:rsidRPr="005B383F">
        <w:t>u</w:t>
      </w:r>
      <w:r w:rsidRPr="005B383F">
        <w:t>tres choses, le problème de couvrir d’une certaine immunité contre l’arrestation et la condamnation les sources huma</w:t>
      </w:r>
      <w:r w:rsidRPr="005B383F">
        <w:t>i</w:t>
      </w:r>
      <w:r w:rsidRPr="005B383F">
        <w:t>nes (habituellement des agents rémunérés) appelés à […] violer la loi pour parvenir à noyauter des mouvements comme le FLQ </w:t>
      </w:r>
      <w:r>
        <w:rPr>
          <w:rStyle w:val="Appelnotedebasdep"/>
          <w:bCs/>
        </w:rPr>
        <w:footnoteReference w:id="2"/>
      </w:r>
      <w:r w:rsidRPr="005B383F">
        <w:t>.</w:t>
      </w:r>
    </w:p>
    <w:p w:rsidR="005C5342" w:rsidRPr="005B383F" w:rsidRDefault="005C5342" w:rsidP="005C5342">
      <w:pPr>
        <w:pStyle w:val="Grillecouleur-Accent1"/>
      </w:pPr>
    </w:p>
    <w:p w:rsidR="005C5342" w:rsidRPr="005B383F" w:rsidRDefault="005C5342" w:rsidP="005C5342">
      <w:pPr>
        <w:spacing w:before="120" w:after="120"/>
        <w:jc w:val="both"/>
        <w:rPr>
          <w:bCs/>
          <w:color w:val="FF0000"/>
        </w:rPr>
      </w:pPr>
      <w:r w:rsidRPr="005B383F">
        <w:rPr>
          <w:bCs/>
        </w:rPr>
        <w:t>La responsabilité des corps policiers dans l’Opération Bricole a été rév</w:t>
      </w:r>
      <w:r w:rsidRPr="005B383F">
        <w:rPr>
          <w:bCs/>
        </w:rPr>
        <w:t>é</w:t>
      </w:r>
      <w:r w:rsidRPr="005B383F">
        <w:rPr>
          <w:bCs/>
        </w:rPr>
        <w:t>lée en 1976 par un agent des services antiterrorisme de la GRC, Robert Sa</w:t>
      </w:r>
      <w:r w:rsidRPr="005B383F">
        <w:rPr>
          <w:bCs/>
        </w:rPr>
        <w:t>m</w:t>
      </w:r>
      <w:r w:rsidRPr="005B383F">
        <w:rPr>
          <w:bCs/>
        </w:rPr>
        <w:t>son, lors d’un procès qu’il a subi à la suite de l’explosion d’une charge de dyn</w:t>
      </w:r>
      <w:r w:rsidRPr="005B383F">
        <w:rPr>
          <w:bCs/>
        </w:rPr>
        <w:t>a</w:t>
      </w:r>
      <w:r w:rsidRPr="005B383F">
        <w:rPr>
          <w:bCs/>
        </w:rPr>
        <w:t>mite qu’il tentait de déposer près de la résidence du président-directeur gén</w:t>
      </w:r>
      <w:r w:rsidRPr="005B383F">
        <w:rPr>
          <w:bCs/>
        </w:rPr>
        <w:t>é</w:t>
      </w:r>
      <w:r w:rsidRPr="005B383F">
        <w:rPr>
          <w:bCs/>
        </w:rPr>
        <w:t>ral de la chaîne d’alimentation Steinberg, Melvyn Dobryn, à Ville Mont-Royal. Cette opération, où Samson a été grièvement blessé, a été à l’origine de la mise sur pied de la Co</w:t>
      </w:r>
      <w:r w:rsidRPr="005B383F">
        <w:rPr>
          <w:bCs/>
        </w:rPr>
        <w:t>m</w:t>
      </w:r>
      <w:r w:rsidRPr="005B383F">
        <w:rPr>
          <w:bCs/>
        </w:rPr>
        <w:t>mission Keable en 1977, mais aussi d’une a</w:t>
      </w:r>
      <w:r w:rsidRPr="005B383F">
        <w:rPr>
          <w:bCs/>
        </w:rPr>
        <w:t>u</w:t>
      </w:r>
      <w:r w:rsidRPr="005B383F">
        <w:rPr>
          <w:bCs/>
        </w:rPr>
        <w:t>tre commission, créée, celle-là, par le Gouve</w:t>
      </w:r>
      <w:r w:rsidRPr="005B383F">
        <w:rPr>
          <w:bCs/>
        </w:rPr>
        <w:t>r</w:t>
      </w:r>
      <w:r w:rsidRPr="005B383F">
        <w:rPr>
          <w:bCs/>
        </w:rPr>
        <w:t>nement du Canada et présidée par le juge David Cargill McD</w:t>
      </w:r>
      <w:r w:rsidRPr="005B383F">
        <w:rPr>
          <w:bCs/>
        </w:rPr>
        <w:t>o</w:t>
      </w:r>
      <w:r w:rsidRPr="005B383F">
        <w:rPr>
          <w:bCs/>
        </w:rPr>
        <w:t xml:space="preserve">nald, dont le rapport a été publié en 1981 comme celui de la Commission Keable. 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 xml:space="preserve">Le mandat de la Commission Keable a par la suite été élargi à l’éclaircissement d’autres </w:t>
      </w:r>
      <w:r w:rsidRPr="005B383F">
        <w:rPr>
          <w:bCs/>
          <w:i/>
          <w:iCs/>
        </w:rPr>
        <w:t>opérations de déstabilisation</w:t>
      </w:r>
      <w:r w:rsidRPr="005B383F">
        <w:rPr>
          <w:bCs/>
        </w:rPr>
        <w:t xml:space="preserve"> menées en sol qu</w:t>
      </w:r>
      <w:r w:rsidRPr="005B383F">
        <w:rPr>
          <w:bCs/>
        </w:rPr>
        <w:t>é</w:t>
      </w:r>
      <w:r w:rsidRPr="005B383F">
        <w:rPr>
          <w:bCs/>
        </w:rPr>
        <w:t>bécois par la GRC, de 1971 à 1973 : un vol de dynamite à l’entreprise</w:t>
      </w:r>
      <w:r w:rsidRPr="005B383F">
        <w:rPr>
          <w:bCs/>
          <w:i/>
          <w:iCs/>
        </w:rPr>
        <w:t xml:space="preserve"> Rich</w:t>
      </w:r>
      <w:r w:rsidRPr="005B383F">
        <w:rPr>
          <w:bCs/>
          <w:i/>
          <w:iCs/>
        </w:rPr>
        <w:t>e</w:t>
      </w:r>
      <w:r w:rsidRPr="005B383F">
        <w:rPr>
          <w:bCs/>
          <w:i/>
          <w:iCs/>
        </w:rPr>
        <w:t>lieu Explosives</w:t>
      </w:r>
      <w:r w:rsidRPr="005B383F">
        <w:rPr>
          <w:bCs/>
        </w:rPr>
        <w:t xml:space="preserve"> de Rougemont, l’incendie d’une grange située sur le terrain de la commune </w:t>
      </w:r>
      <w:r w:rsidRPr="005B383F">
        <w:rPr>
          <w:bCs/>
          <w:i/>
          <w:iCs/>
        </w:rPr>
        <w:t>Le Petit Québec libre</w:t>
      </w:r>
      <w:r w:rsidRPr="005B383F">
        <w:rPr>
          <w:bCs/>
        </w:rPr>
        <w:t>, pr</w:t>
      </w:r>
      <w:r w:rsidRPr="005B383F">
        <w:rPr>
          <w:bCs/>
        </w:rPr>
        <w:t>o</w:t>
      </w:r>
      <w:r w:rsidRPr="005B383F">
        <w:rPr>
          <w:bCs/>
        </w:rPr>
        <w:t xml:space="preserve">priété du </w:t>
      </w:r>
      <w:r w:rsidRPr="005B383F">
        <w:rPr>
          <w:bCs/>
          <w:i/>
          <w:iCs/>
        </w:rPr>
        <w:t>Quatuor de Jazz libre du Québec</w:t>
      </w:r>
      <w:r w:rsidRPr="005B383F">
        <w:rPr>
          <w:bCs/>
        </w:rPr>
        <w:t xml:space="preserve"> à Sainte-Anne-de-la-Rochelle, l’émission d’un faux communiqué au nom d’une fausse ce</w:t>
      </w:r>
      <w:r w:rsidRPr="005B383F">
        <w:rPr>
          <w:bCs/>
        </w:rPr>
        <w:t>l</w:t>
      </w:r>
      <w:r w:rsidRPr="005B383F">
        <w:rPr>
          <w:bCs/>
        </w:rPr>
        <w:t xml:space="preserve">lule du FLQ, </w:t>
      </w:r>
      <w:r w:rsidRPr="005B383F">
        <w:rPr>
          <w:bCs/>
          <w:i/>
          <w:iCs/>
        </w:rPr>
        <w:t>La Minerve</w:t>
      </w:r>
      <w:r w:rsidRPr="005B383F">
        <w:rPr>
          <w:bCs/>
        </w:rPr>
        <w:t>, l’entrée illégale dans les locaux ou se tro</w:t>
      </w:r>
      <w:r w:rsidRPr="005B383F">
        <w:rPr>
          <w:bCs/>
        </w:rPr>
        <w:t>u</w:t>
      </w:r>
      <w:r w:rsidRPr="005B383F">
        <w:rPr>
          <w:bCs/>
        </w:rPr>
        <w:t>vait la liste des membres du Parti Québécois et la reprodu</w:t>
      </w:r>
      <w:r w:rsidRPr="005B383F">
        <w:rPr>
          <w:bCs/>
        </w:rPr>
        <w:t>c</w:t>
      </w:r>
      <w:r w:rsidRPr="005B383F">
        <w:rPr>
          <w:bCs/>
        </w:rPr>
        <w:t>tion illicite de cette liste; cette dernière intervention a été désignée sous le nom de code d’</w:t>
      </w:r>
      <w:r w:rsidRPr="005B383F">
        <w:rPr>
          <w:bCs/>
          <w:i/>
          <w:iCs/>
        </w:rPr>
        <w:t>Opération HAM</w:t>
      </w:r>
      <w:r w:rsidRPr="005B383F">
        <w:rPr>
          <w:bCs/>
        </w:rPr>
        <w:t xml:space="preserve">. 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lastRenderedPageBreak/>
        <w:t>La Commission s’est par ailleurs penchée sur les actions auxque</w:t>
      </w:r>
      <w:r w:rsidRPr="005B383F">
        <w:rPr>
          <w:bCs/>
        </w:rPr>
        <w:t>l</w:t>
      </w:r>
      <w:r w:rsidRPr="005B383F">
        <w:rPr>
          <w:bCs/>
        </w:rPr>
        <w:t>les a donné lieu l’infiltration du FLQ, de novembre 1970 à 1972, par des inform</w:t>
      </w:r>
      <w:r w:rsidRPr="005B383F">
        <w:rPr>
          <w:bCs/>
        </w:rPr>
        <w:t>a</w:t>
      </w:r>
      <w:r w:rsidRPr="005B383F">
        <w:rPr>
          <w:bCs/>
        </w:rPr>
        <w:t xml:space="preserve">teurs du </w:t>
      </w:r>
      <w:r w:rsidRPr="005B383F">
        <w:rPr>
          <w:bCs/>
          <w:i/>
          <w:iCs/>
        </w:rPr>
        <w:t>Service de police de la Communauté urbaine de Montréal</w:t>
      </w:r>
      <w:r w:rsidRPr="005B383F">
        <w:rPr>
          <w:bCs/>
        </w:rPr>
        <w:t xml:space="preserve">. On prend la mesure de cette infiltration, en lisant dans le </w:t>
      </w:r>
      <w:r w:rsidRPr="005B383F">
        <w:rPr>
          <w:bCs/>
          <w:i/>
          <w:iCs/>
        </w:rPr>
        <w:t>Rapport Keable</w:t>
      </w:r>
      <w:r w:rsidRPr="005B383F">
        <w:rPr>
          <w:bCs/>
        </w:rPr>
        <w:t xml:space="preserve"> que, depuis novembre 1970, le FLQ avait fait l’objet d’un tel encerclement et d’une telle infiltration des forces policières que le lieutenant-détective Julien Giguère du SPVM a pu se vanter, en février 1978, lors de son témoignage devant Me Jean-François D</w:t>
      </w:r>
      <w:r w:rsidRPr="005B383F">
        <w:rPr>
          <w:bCs/>
        </w:rPr>
        <w:t>u</w:t>
      </w:r>
      <w:r w:rsidRPr="005B383F">
        <w:rPr>
          <w:bCs/>
        </w:rPr>
        <w:t>chaîne, désigné par le gouvernement du Québec pour mener une e</w:t>
      </w:r>
      <w:r w:rsidRPr="005B383F">
        <w:rPr>
          <w:bCs/>
        </w:rPr>
        <w:t>n</w:t>
      </w:r>
      <w:r w:rsidRPr="005B383F">
        <w:rPr>
          <w:bCs/>
        </w:rPr>
        <w:t>quête au sens large sur les événements d’Octobre, que, « </w:t>
      </w:r>
      <w:r w:rsidRPr="005B383F">
        <w:rPr>
          <w:bCs/>
          <w:i/>
        </w:rPr>
        <w:t>en 1972, le FLQ, c’était nous autres</w:t>
      </w:r>
      <w:r w:rsidRPr="005B383F">
        <w:rPr>
          <w:bCs/>
        </w:rPr>
        <w:t> ». Invité à confirmer sa déclaration, Giguère avait répondu : « </w:t>
      </w:r>
      <w:r w:rsidRPr="005B383F">
        <w:rPr>
          <w:bCs/>
          <w:i/>
        </w:rPr>
        <w:t>Oui presque, finalement. Ça dépend des cell</w:t>
      </w:r>
      <w:r w:rsidRPr="005B383F">
        <w:rPr>
          <w:bCs/>
          <w:i/>
        </w:rPr>
        <w:t>u</w:t>
      </w:r>
      <w:r w:rsidRPr="005B383F">
        <w:rPr>
          <w:bCs/>
          <w:i/>
        </w:rPr>
        <w:t>les</w:t>
      </w:r>
      <w:r>
        <w:rPr>
          <w:bCs/>
        </w:rPr>
        <w:t> </w:t>
      </w:r>
      <w:r>
        <w:rPr>
          <w:rStyle w:val="Appelnotedebasdep"/>
          <w:bCs/>
        </w:rPr>
        <w:footnoteReference w:id="3"/>
      </w:r>
      <w:r w:rsidRPr="005B383F">
        <w:rPr>
          <w:bCs/>
        </w:rPr>
        <w:t> ».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Inaugurées le 3 octobre 1977, les audiences de la Commission se sont déroulées sur une période de trois ans, maintes fois inte</w:t>
      </w:r>
      <w:r w:rsidRPr="005B383F">
        <w:rPr>
          <w:bCs/>
        </w:rPr>
        <w:t>r</w:t>
      </w:r>
      <w:r w:rsidRPr="005B383F">
        <w:rPr>
          <w:bCs/>
        </w:rPr>
        <w:t>rompues par des procéd</w:t>
      </w:r>
      <w:r w:rsidRPr="005B383F">
        <w:rPr>
          <w:bCs/>
        </w:rPr>
        <w:t>u</w:t>
      </w:r>
      <w:r w:rsidRPr="005B383F">
        <w:rPr>
          <w:bCs/>
        </w:rPr>
        <w:t>res judiciaires du gouvernement fédéral et des corps policiers, dont l’objectif était de limiter son mandat, voire de remettre en question son existence. La Commission parle à cet égard de sa di</w:t>
      </w:r>
      <w:r w:rsidRPr="005B383F">
        <w:rPr>
          <w:bCs/>
        </w:rPr>
        <w:t>f</w:t>
      </w:r>
      <w:r w:rsidRPr="005B383F">
        <w:rPr>
          <w:bCs/>
        </w:rPr>
        <w:t>ficulté notoire d’obtenir des documents essentiels du Solliciteur gén</w:t>
      </w:r>
      <w:r w:rsidRPr="005B383F">
        <w:rPr>
          <w:bCs/>
        </w:rPr>
        <w:t>é</w:t>
      </w:r>
      <w:r w:rsidRPr="005B383F">
        <w:rPr>
          <w:bCs/>
        </w:rPr>
        <w:t>ral du Canada :</w:t>
      </w:r>
    </w:p>
    <w:p w:rsidR="005C5342" w:rsidRDefault="005C5342" w:rsidP="005C5342">
      <w:pPr>
        <w:pStyle w:val="Grillecouleur-Accent1"/>
      </w:pPr>
    </w:p>
    <w:p w:rsidR="005C5342" w:rsidRDefault="005C5342" w:rsidP="005C5342">
      <w:pPr>
        <w:pStyle w:val="Grillecouleur-Accent1"/>
      </w:pPr>
      <w:r w:rsidRPr="005B383F">
        <w:t>Le motif juridique le plus souvent invoqué par le Solliciteur général du Canada pour refuser à la Commission les documents qu’elle réclamait était l’article 41(2) de la Loi sur la Cour fédérale. Cette loi autorise le Sollic</w:t>
      </w:r>
      <w:r w:rsidRPr="005B383F">
        <w:t>i</w:t>
      </w:r>
      <w:r w:rsidRPr="005B383F">
        <w:t>teur général du Canada à [refuser] de transmettre des documents à un tr</w:t>
      </w:r>
      <w:r w:rsidRPr="005B383F">
        <w:t>i</w:t>
      </w:r>
      <w:r w:rsidRPr="005B383F">
        <w:t>bunal s’il estime, sans autre justification, que cette transmission est préj</w:t>
      </w:r>
      <w:r w:rsidRPr="005B383F">
        <w:t>u</w:t>
      </w:r>
      <w:r w:rsidRPr="005B383F">
        <w:t>diciable aux intérêts de la sécurité nati</w:t>
      </w:r>
      <w:r w:rsidRPr="005B383F">
        <w:t>o</w:t>
      </w:r>
      <w:r w:rsidRPr="005B383F">
        <w:t>nale canadienne</w:t>
      </w:r>
      <w:r>
        <w:t> </w:t>
      </w:r>
      <w:r>
        <w:rPr>
          <w:rStyle w:val="Appelnotedebasdep"/>
          <w:bCs/>
          <w:iCs/>
        </w:rPr>
        <w:footnoteReference w:id="4"/>
      </w:r>
      <w:r w:rsidRPr="005B383F">
        <w:t>.</w:t>
      </w:r>
    </w:p>
    <w:p w:rsidR="005C5342" w:rsidRPr="005B383F" w:rsidRDefault="005C5342" w:rsidP="005C5342">
      <w:pPr>
        <w:pStyle w:val="Grillecouleur-Accent1"/>
      </w:pP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En raison du recours à cette procédure, la Commission a été privée de documents indispensables à la poursuite de son enquête. Aussi, ses travaux ont été suspendus entre le 21 février et le 31 o</w:t>
      </w:r>
      <w:r w:rsidRPr="005B383F">
        <w:rPr>
          <w:bCs/>
        </w:rPr>
        <w:t>c</w:t>
      </w:r>
      <w:r w:rsidRPr="005B383F">
        <w:rPr>
          <w:bCs/>
        </w:rPr>
        <w:t>tobre 1978, date à laquelle la Cour suprême du Canada l’a autorisée à les poursu</w:t>
      </w:r>
      <w:r w:rsidRPr="005B383F">
        <w:rPr>
          <w:bCs/>
        </w:rPr>
        <w:t>i</w:t>
      </w:r>
      <w:r w:rsidRPr="005B383F">
        <w:rPr>
          <w:bCs/>
        </w:rPr>
        <w:t>vre à l’intérieur de lim</w:t>
      </w:r>
      <w:r w:rsidRPr="005B383F">
        <w:rPr>
          <w:bCs/>
        </w:rPr>
        <w:t>i</w:t>
      </w:r>
      <w:r w:rsidRPr="005B383F">
        <w:rPr>
          <w:bCs/>
        </w:rPr>
        <w:t>tes qu’elle lui imposait, notamment le pouvoir du Solliciteur général du C</w:t>
      </w:r>
      <w:r w:rsidRPr="005B383F">
        <w:rPr>
          <w:bCs/>
        </w:rPr>
        <w:t>a</w:t>
      </w:r>
      <w:r w:rsidRPr="005B383F">
        <w:rPr>
          <w:bCs/>
        </w:rPr>
        <w:t>nada d’invoquer des motifs relevant de la sécurité nationale pour ref</w:t>
      </w:r>
      <w:r w:rsidRPr="005B383F">
        <w:rPr>
          <w:bCs/>
        </w:rPr>
        <w:t>u</w:t>
      </w:r>
      <w:r w:rsidRPr="005B383F">
        <w:rPr>
          <w:bCs/>
        </w:rPr>
        <w:t>ser de produire des documents. Par ce pouvoir, écrit la Commi</w:t>
      </w:r>
      <w:r w:rsidRPr="005B383F">
        <w:rPr>
          <w:bCs/>
        </w:rPr>
        <w:t>s</w:t>
      </w:r>
      <w:r w:rsidRPr="005B383F">
        <w:rPr>
          <w:bCs/>
        </w:rPr>
        <w:t xml:space="preserve">sion Keable : </w:t>
      </w:r>
    </w:p>
    <w:p w:rsidR="005C5342" w:rsidRDefault="005C5342" w:rsidP="005C5342">
      <w:pPr>
        <w:pStyle w:val="Grillecouleur-Accent1"/>
      </w:pPr>
    </w:p>
    <w:p w:rsidR="005C5342" w:rsidRDefault="005C5342" w:rsidP="005C5342">
      <w:pPr>
        <w:pStyle w:val="Grillecouleur-Accent1"/>
      </w:pPr>
      <w:r w:rsidRPr="005B383F">
        <w:t>… la Cour suprême renforce ce que l’Honorable juge en chef de la Cour supérieure Jules O. Deschênes a appelé […] l’immunité a</w:t>
      </w:r>
      <w:r w:rsidRPr="005B383F">
        <w:t>b</w:t>
      </w:r>
      <w:r w:rsidRPr="005B383F">
        <w:t>solue de l’exécutif par rapport au judiciaire… Parmi les pays dont [il] a étudié les pratiques juridiques – Angleterre, Australie, Nouve</w:t>
      </w:r>
      <w:r w:rsidRPr="005B383F">
        <w:t>l</w:t>
      </w:r>
      <w:r w:rsidRPr="005B383F">
        <w:t>le-Zélande et États-Unis d’Amérique – le Canada est le seul à fav</w:t>
      </w:r>
      <w:r w:rsidRPr="005B383F">
        <w:t>o</w:t>
      </w:r>
      <w:r w:rsidRPr="005B383F">
        <w:t>riser de façon répétée la doctrine de l’immunité absolue.</w:t>
      </w:r>
      <w:r>
        <w:t> </w:t>
      </w:r>
      <w:r>
        <w:rPr>
          <w:rStyle w:val="Appelnotedebasdep"/>
          <w:bCs/>
          <w:iCs/>
        </w:rPr>
        <w:footnoteReference w:id="5"/>
      </w:r>
    </w:p>
    <w:p w:rsidR="005C5342" w:rsidRPr="005B383F" w:rsidRDefault="005C5342" w:rsidP="005C5342">
      <w:pPr>
        <w:pStyle w:val="Grillecouleur-Accent1"/>
      </w:pP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Enfin, autre exemple de la justice impériale, le pouvoir de la Commission de faire des recommandations relatives aux mesures à prendre pour que les agissements illégaux de la GRC ne se reprodu</w:t>
      </w:r>
      <w:r w:rsidRPr="005B383F">
        <w:rPr>
          <w:bCs/>
        </w:rPr>
        <w:t>i</w:t>
      </w:r>
      <w:r w:rsidRPr="005B383F">
        <w:rPr>
          <w:bCs/>
        </w:rPr>
        <w:t xml:space="preserve">sent plus dans l’avenir a été jugé </w:t>
      </w:r>
      <w:r w:rsidRPr="005B383F">
        <w:rPr>
          <w:bCs/>
          <w:i/>
          <w:iCs/>
        </w:rPr>
        <w:t>ultra vires</w:t>
      </w:r>
      <w:r w:rsidRPr="005B383F">
        <w:rPr>
          <w:bCs/>
        </w:rPr>
        <w:t xml:space="preserve"> de la juridiction du Qu</w:t>
      </w:r>
      <w:r w:rsidRPr="005B383F">
        <w:rPr>
          <w:bCs/>
        </w:rPr>
        <w:t>é</w:t>
      </w:r>
      <w:r w:rsidRPr="005B383F">
        <w:rPr>
          <w:bCs/>
        </w:rPr>
        <w:t>bec.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Un dernier ajout a été apporté au mandat de la Commission en ja</w:t>
      </w:r>
      <w:r w:rsidRPr="005B383F">
        <w:rPr>
          <w:bCs/>
        </w:rPr>
        <w:t>n</w:t>
      </w:r>
      <w:r w:rsidRPr="005B383F">
        <w:rPr>
          <w:bCs/>
        </w:rPr>
        <w:t>vier 1979, à la suite d’informations reçues par elle à l’effet que des policiers r</w:t>
      </w:r>
      <w:r w:rsidRPr="005B383F">
        <w:rPr>
          <w:bCs/>
        </w:rPr>
        <w:t>e</w:t>
      </w:r>
      <w:r w:rsidRPr="005B383F">
        <w:rPr>
          <w:bCs/>
        </w:rPr>
        <w:t>levant de l’administration québécoise de la justice (SQ et SPCUM) auraient été impl</w:t>
      </w:r>
      <w:r w:rsidRPr="005B383F">
        <w:rPr>
          <w:bCs/>
        </w:rPr>
        <w:t>i</w:t>
      </w:r>
      <w:r w:rsidRPr="005B383F">
        <w:rPr>
          <w:bCs/>
        </w:rPr>
        <w:t>qués dans la production de communiqués non authentiques émis au nom du FLQ. De la fin de mars à la fin de novembre 1979, la Commission s’est livrée à des recherches doc</w:t>
      </w:r>
      <w:r w:rsidRPr="005B383F">
        <w:rPr>
          <w:bCs/>
        </w:rPr>
        <w:t>u</w:t>
      </w:r>
      <w:r w:rsidRPr="005B383F">
        <w:rPr>
          <w:bCs/>
        </w:rPr>
        <w:t>mentaires intensives destinées à regrouper et à classer ces commun</w:t>
      </w:r>
      <w:r w:rsidRPr="005B383F">
        <w:rPr>
          <w:bCs/>
        </w:rPr>
        <w:t>i</w:t>
      </w:r>
      <w:r w:rsidRPr="005B383F">
        <w:rPr>
          <w:bCs/>
        </w:rPr>
        <w:t>qués qui lui ont été remis par la SQ et le SPCUM et à un degré moi</w:t>
      </w:r>
      <w:r w:rsidRPr="005B383F">
        <w:rPr>
          <w:bCs/>
        </w:rPr>
        <w:t>n</w:t>
      </w:r>
      <w:r w:rsidRPr="005B383F">
        <w:rPr>
          <w:bCs/>
        </w:rPr>
        <w:t>dre par la GRC. Elle a par la suite procédé à leur regroup</w:t>
      </w:r>
      <w:r w:rsidRPr="005B383F">
        <w:rPr>
          <w:bCs/>
        </w:rPr>
        <w:t>e</w:t>
      </w:r>
      <w:r w:rsidRPr="005B383F">
        <w:rPr>
          <w:bCs/>
        </w:rPr>
        <w:t>ment et à leur authentification en se fondant en grande partie sur le témo</w:t>
      </w:r>
      <w:r w:rsidRPr="005B383F">
        <w:rPr>
          <w:bCs/>
        </w:rPr>
        <w:t>i</w:t>
      </w:r>
      <w:r w:rsidRPr="005B383F">
        <w:rPr>
          <w:bCs/>
        </w:rPr>
        <w:t>gnage de l’informatrice de pol</w:t>
      </w:r>
      <w:r w:rsidRPr="005B383F">
        <w:rPr>
          <w:bCs/>
        </w:rPr>
        <w:t>i</w:t>
      </w:r>
      <w:r w:rsidRPr="005B383F">
        <w:rPr>
          <w:bCs/>
        </w:rPr>
        <w:t>ce Carole Devault de la Section anti-terrorisme du SPCUM, qui en avait elle-même rédigé un grand no</w:t>
      </w:r>
      <w:r w:rsidRPr="005B383F">
        <w:rPr>
          <w:bCs/>
        </w:rPr>
        <w:t>m</w:t>
      </w:r>
      <w:r w:rsidRPr="005B383F">
        <w:rPr>
          <w:bCs/>
        </w:rPr>
        <w:t>bre</w:t>
      </w:r>
      <w:r>
        <w:rPr>
          <w:bCs/>
        </w:rPr>
        <w:t> </w:t>
      </w:r>
      <w:r>
        <w:rPr>
          <w:rStyle w:val="Appelnotedebasdep"/>
          <w:bCs/>
        </w:rPr>
        <w:footnoteReference w:id="6"/>
      </w:r>
      <w:r w:rsidRPr="005B383F">
        <w:rPr>
          <w:bCs/>
        </w:rPr>
        <w:t xml:space="preserve">. 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La Commission a également produit une analyse détaillée de l’implication de la police et de ses informateurs et agents provoc</w:t>
      </w:r>
      <w:r w:rsidRPr="005B383F">
        <w:rPr>
          <w:bCs/>
        </w:rPr>
        <w:t>a</w:t>
      </w:r>
      <w:r w:rsidRPr="005B383F">
        <w:rPr>
          <w:bCs/>
        </w:rPr>
        <w:t>teurs, au premier titre Carole Devault, dans les incidents terrori</w:t>
      </w:r>
      <w:r w:rsidRPr="005B383F">
        <w:rPr>
          <w:bCs/>
        </w:rPr>
        <w:t>s</w:t>
      </w:r>
      <w:r w:rsidRPr="005B383F">
        <w:rPr>
          <w:bCs/>
        </w:rPr>
        <w:t>tes revendiqués par ces communiqués, ainsi que dans de nombreux agi</w:t>
      </w:r>
      <w:r w:rsidRPr="005B383F">
        <w:rPr>
          <w:bCs/>
        </w:rPr>
        <w:t>s</w:t>
      </w:r>
      <w:r w:rsidRPr="005B383F">
        <w:rPr>
          <w:bCs/>
        </w:rPr>
        <w:t>sements survenus de la fin de 1970 à la fin de 1971 (coup monté d’un vol à main armée contre l’entreprise Caloil de Montréal-Est, attentats à la bombe contre la compagnie Brink’s et contre la succursale postale De Lorimier, vol d’un bingo organisé dans le sous-sol de l’Église Sainte-Catherine, rue Amherst, à Montréal, te</w:t>
      </w:r>
      <w:r w:rsidRPr="005B383F">
        <w:rPr>
          <w:bCs/>
        </w:rPr>
        <w:t>n</w:t>
      </w:r>
      <w:r w:rsidRPr="005B383F">
        <w:rPr>
          <w:bCs/>
        </w:rPr>
        <w:t xml:space="preserve">tative d’extorsion sous la menace de l’explosion d’une bombe à retardement dans un avion, </w:t>
      </w:r>
      <w:r w:rsidRPr="005B383F">
        <w:rPr>
          <w:bCs/>
        </w:rPr>
        <w:lastRenderedPageBreak/>
        <w:t>tentative infructueuse d’exécution d’un vol de dynamite à Saint-Paul-d’Abbotsford et vol de banque raté à Mascouche)</w:t>
      </w:r>
      <w:r>
        <w:rPr>
          <w:bCs/>
        </w:rPr>
        <w:t> </w:t>
      </w:r>
      <w:r>
        <w:rPr>
          <w:rStyle w:val="Appelnotedebasdep"/>
          <w:bCs/>
        </w:rPr>
        <w:footnoteReference w:id="7"/>
      </w:r>
      <w:r w:rsidRPr="005B383F">
        <w:rPr>
          <w:bCs/>
        </w:rPr>
        <w:t>. Ce dernier év</w:t>
      </w:r>
      <w:r w:rsidRPr="005B383F">
        <w:rPr>
          <w:bCs/>
        </w:rPr>
        <w:t>é</w:t>
      </w:r>
      <w:r w:rsidRPr="005B383F">
        <w:rPr>
          <w:bCs/>
        </w:rPr>
        <w:t xml:space="preserve">nement, marqué par une fusillade dans laquelle a péri le jeune militant Pierre-Louis Bourret en septembre 1971, peut être considéré comme ayant été le dernier clou enfoncé dans le cercueil du FLQ. 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Pour la Commission, toute la preuve de l’intervention des fo</w:t>
      </w:r>
      <w:r w:rsidRPr="005B383F">
        <w:rPr>
          <w:bCs/>
        </w:rPr>
        <w:t>r</w:t>
      </w:r>
      <w:r w:rsidRPr="005B383F">
        <w:rPr>
          <w:bCs/>
        </w:rPr>
        <w:t>ces policières dans des activités illégales reposait sur la provena</w:t>
      </w:r>
      <w:r w:rsidRPr="005B383F">
        <w:rPr>
          <w:bCs/>
        </w:rPr>
        <w:t>n</w:t>
      </w:r>
      <w:r w:rsidRPr="005B383F">
        <w:rPr>
          <w:bCs/>
        </w:rPr>
        <w:t>ce du papier dit «</w:t>
      </w:r>
      <w:r>
        <w:rPr>
          <w:bCs/>
        </w:rPr>
        <w:t> </w:t>
      </w:r>
      <w:r w:rsidRPr="005B383F">
        <w:rPr>
          <w:bCs/>
        </w:rPr>
        <w:t>officiel</w:t>
      </w:r>
      <w:r>
        <w:rPr>
          <w:bCs/>
        </w:rPr>
        <w:t> </w:t>
      </w:r>
      <w:r w:rsidRPr="005B383F">
        <w:rPr>
          <w:bCs/>
        </w:rPr>
        <w:t>» du FLQ, sur lequel les communiqués étaient r</w:t>
      </w:r>
      <w:r w:rsidRPr="005B383F">
        <w:rPr>
          <w:bCs/>
        </w:rPr>
        <w:t>é</w:t>
      </w:r>
      <w:r w:rsidRPr="005B383F">
        <w:rPr>
          <w:bCs/>
        </w:rPr>
        <w:t>digés. Elle a été app</w:t>
      </w:r>
      <w:r w:rsidRPr="005B383F">
        <w:rPr>
          <w:bCs/>
        </w:rPr>
        <w:t>a</w:t>
      </w:r>
      <w:r w:rsidRPr="005B383F">
        <w:rPr>
          <w:bCs/>
        </w:rPr>
        <w:t>remment séduite par l’hypothèse selon laquelle ce papier utilisé après le 5 décembre 1970, le surlendemain de la lib</w:t>
      </w:r>
      <w:r w:rsidRPr="005B383F">
        <w:rPr>
          <w:bCs/>
        </w:rPr>
        <w:t>é</w:t>
      </w:r>
      <w:r w:rsidRPr="005B383F">
        <w:rPr>
          <w:bCs/>
        </w:rPr>
        <w:t>ration de James Richard Cross, aurait été d’origine policière, de sorte que quiconque aurait été en sa posse</w:t>
      </w:r>
      <w:r w:rsidRPr="005B383F">
        <w:rPr>
          <w:bCs/>
        </w:rPr>
        <w:t>s</w:t>
      </w:r>
      <w:r w:rsidRPr="005B383F">
        <w:rPr>
          <w:bCs/>
        </w:rPr>
        <w:t>sion serait de la police, ou l’aurait obtenu d’elle et serait de connivence avec elle. Malgré les i</w:t>
      </w:r>
      <w:r w:rsidRPr="005B383F">
        <w:rPr>
          <w:bCs/>
        </w:rPr>
        <w:t>m</w:t>
      </w:r>
      <w:r w:rsidRPr="005B383F">
        <w:rPr>
          <w:bCs/>
        </w:rPr>
        <w:t>portants efforts qu’elle a déployés pour tenter de résoudre cette éni</w:t>
      </w:r>
      <w:r w:rsidRPr="005B383F">
        <w:rPr>
          <w:bCs/>
        </w:rPr>
        <w:t>g</w:t>
      </w:r>
      <w:r w:rsidRPr="005B383F">
        <w:rPr>
          <w:bCs/>
        </w:rPr>
        <w:t>me, la Commission Keable a déploré n’avoir pu y parvenir. L’origine réelle de ce « papier off</w:t>
      </w:r>
      <w:r w:rsidRPr="005B383F">
        <w:rPr>
          <w:bCs/>
        </w:rPr>
        <w:t>i</w:t>
      </w:r>
      <w:r w:rsidRPr="005B383F">
        <w:rPr>
          <w:bCs/>
        </w:rPr>
        <w:t xml:space="preserve">ciel » n’a été dévoilée qu’en mars 2020, dans un livre intitulé </w:t>
      </w:r>
      <w:r w:rsidRPr="005B383F">
        <w:rPr>
          <w:bCs/>
          <w:i/>
          <w:iCs/>
        </w:rPr>
        <w:t>Mon Octobre 70</w:t>
      </w:r>
      <w:r w:rsidRPr="005B383F">
        <w:rPr>
          <w:bCs/>
        </w:rPr>
        <w:t>, que j’ai copublié avec Robert C</w:t>
      </w:r>
      <w:r w:rsidRPr="005B383F">
        <w:rPr>
          <w:bCs/>
        </w:rPr>
        <w:t>o</w:t>
      </w:r>
      <w:r w:rsidRPr="005B383F">
        <w:rPr>
          <w:bCs/>
        </w:rPr>
        <w:t>meau chez VLB. J’y renvoie les intéressés (p. 105-111).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Les recours contre la Commission et les procédures judiciaires pour te</w:t>
      </w:r>
      <w:r w:rsidRPr="005B383F">
        <w:rPr>
          <w:bCs/>
        </w:rPr>
        <w:t>n</w:t>
      </w:r>
      <w:r w:rsidRPr="005B383F">
        <w:rPr>
          <w:bCs/>
        </w:rPr>
        <w:t>ter de mettre un terme à ses activités ne sont pas venus que des autorités p</w:t>
      </w:r>
      <w:r w:rsidRPr="005B383F">
        <w:rPr>
          <w:bCs/>
        </w:rPr>
        <w:t>o</w:t>
      </w:r>
      <w:r w:rsidRPr="005B383F">
        <w:rPr>
          <w:bCs/>
        </w:rPr>
        <w:t>licières et fédérales. Appelé à comparaître à huis clos devant elle pour une quatrième fois, le 19 septembre 1979, l’historien Robert Comeau qui a été membre du FLQ en 1970 a présenté devant la Cour supérieure du Québec une requête pour l’émission d’un bref d’évocation contre elle, qui a été rejetée le 9 octobre suivant. Pour ce</w:t>
      </w:r>
      <w:r w:rsidRPr="005B383F">
        <w:rPr>
          <w:bCs/>
        </w:rPr>
        <w:t>t</w:t>
      </w:r>
      <w:r w:rsidRPr="005B383F">
        <w:rPr>
          <w:bCs/>
        </w:rPr>
        <w:t>te intervention, Comeau a été crit</w:t>
      </w:r>
      <w:r w:rsidRPr="005B383F">
        <w:rPr>
          <w:bCs/>
        </w:rPr>
        <w:t>i</w:t>
      </w:r>
      <w:r w:rsidRPr="005B383F">
        <w:rPr>
          <w:bCs/>
        </w:rPr>
        <w:t>qué par certains qui ont assimilé sa démarche à celle de la police. Ce à quoi il a répliqué en fa</w:t>
      </w:r>
      <w:r w:rsidRPr="005B383F">
        <w:rPr>
          <w:bCs/>
        </w:rPr>
        <w:t>i</w:t>
      </w:r>
      <w:r w:rsidRPr="005B383F">
        <w:rPr>
          <w:bCs/>
        </w:rPr>
        <w:t>sant valoir le fait qu’il était nécessaire de s’élever contre une commission qui d</w:t>
      </w:r>
      <w:r w:rsidRPr="005B383F">
        <w:rPr>
          <w:bCs/>
        </w:rPr>
        <w:t>é</w:t>
      </w:r>
      <w:r w:rsidRPr="005B383F">
        <w:rPr>
          <w:bCs/>
        </w:rPr>
        <w:t>viait de son mandat en visant le FLQ plutôt que la police.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Comeau a ensuite été assigné à témoigner en public une pr</w:t>
      </w:r>
      <w:r w:rsidRPr="005B383F">
        <w:rPr>
          <w:bCs/>
        </w:rPr>
        <w:t>e</w:t>
      </w:r>
      <w:r w:rsidRPr="005B383F">
        <w:rPr>
          <w:bCs/>
        </w:rPr>
        <w:t>mière fois, le 21 novembre 1979, avec ses co-felquistes François Séguin et Nigel Hamer. Ils ont, tous les trois, refusé de répondre aux questions de la Commission, ce qui les rendait passibles d’accusations d’outrage au tribunal, donnant lieu à des peines de prison. Lors de cette audie</w:t>
      </w:r>
      <w:r w:rsidRPr="005B383F">
        <w:rPr>
          <w:bCs/>
        </w:rPr>
        <w:t>n</w:t>
      </w:r>
      <w:r w:rsidRPr="005B383F">
        <w:rPr>
          <w:bCs/>
        </w:rPr>
        <w:t>ce, Comeau a motivé ce refus dans une longue déclaration, signée également par Séguin, et dont Hamer a déclaré partager les orient</w:t>
      </w:r>
      <w:r w:rsidRPr="005B383F">
        <w:rPr>
          <w:bCs/>
        </w:rPr>
        <w:t>a</w:t>
      </w:r>
      <w:r w:rsidRPr="005B383F">
        <w:rPr>
          <w:bCs/>
        </w:rPr>
        <w:lastRenderedPageBreak/>
        <w:t>tions. Il va sans dire qu’en refusant de témoigner, C</w:t>
      </w:r>
      <w:r w:rsidRPr="005B383F">
        <w:rPr>
          <w:bCs/>
        </w:rPr>
        <w:t>o</w:t>
      </w:r>
      <w:r w:rsidRPr="005B383F">
        <w:rPr>
          <w:bCs/>
        </w:rPr>
        <w:t>meau se privait de la possibilité de contred</w:t>
      </w:r>
      <w:r w:rsidRPr="005B383F">
        <w:rPr>
          <w:bCs/>
        </w:rPr>
        <w:t>i</w:t>
      </w:r>
      <w:r w:rsidRPr="005B383F">
        <w:rPr>
          <w:bCs/>
        </w:rPr>
        <w:t>re les déclarations mensongères de Carole Devault, que la Co</w:t>
      </w:r>
      <w:r w:rsidRPr="005B383F">
        <w:rPr>
          <w:bCs/>
        </w:rPr>
        <w:t>m</w:t>
      </w:r>
      <w:r w:rsidRPr="005B383F">
        <w:rPr>
          <w:bCs/>
        </w:rPr>
        <w:t>mission a finalement reprises à son compte.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Cet épisode s’est terminé par un coup de théâtre. Lors de l’audition suivante, le 27 novembre, disant vouloir «</w:t>
      </w:r>
      <w:r>
        <w:rPr>
          <w:bCs/>
        </w:rPr>
        <w:t> </w:t>
      </w:r>
      <w:r w:rsidRPr="005B383F">
        <w:rPr>
          <w:bCs/>
          <w:i/>
          <w:iCs/>
        </w:rPr>
        <w:t>crever un abcès</w:t>
      </w:r>
      <w:r>
        <w:rPr>
          <w:bCs/>
        </w:rPr>
        <w:t> </w:t>
      </w:r>
      <w:r w:rsidRPr="005B383F">
        <w:rPr>
          <w:bCs/>
        </w:rPr>
        <w:t>», le co</w:t>
      </w:r>
      <w:r w:rsidRPr="005B383F">
        <w:rPr>
          <w:bCs/>
        </w:rPr>
        <w:t>m</w:t>
      </w:r>
      <w:r w:rsidRPr="005B383F">
        <w:rPr>
          <w:bCs/>
        </w:rPr>
        <w:t>missaire Keable a lu une déclaration qui a provoqué la stupéfaction générale, à l’occasion de laquelle il a dévoilé le st</w:t>
      </w:r>
      <w:r w:rsidRPr="005B383F">
        <w:rPr>
          <w:bCs/>
        </w:rPr>
        <w:t>a</w:t>
      </w:r>
      <w:r w:rsidRPr="005B383F">
        <w:rPr>
          <w:bCs/>
        </w:rPr>
        <w:t xml:space="preserve">tut d’informateur de François Séguin, le meilleur ami de Comeau et son camarade au sein du groupe </w:t>
      </w:r>
      <w:r w:rsidRPr="005B383F">
        <w:rPr>
          <w:bCs/>
          <w:i/>
          <w:iCs/>
        </w:rPr>
        <w:t>En Lutte !</w:t>
      </w:r>
      <w:r w:rsidRPr="005B383F">
        <w:rPr>
          <w:bCs/>
        </w:rPr>
        <w:t xml:space="preserve">, identifié son contrôleur, le sergent-détective Émile Bisaillon, présent dans la salle, et dit de Comeau qu’il avait pendant des années été « </w:t>
      </w:r>
      <w:r w:rsidRPr="005B383F">
        <w:rPr>
          <w:bCs/>
          <w:i/>
          <w:iCs/>
        </w:rPr>
        <w:t>la dupe des services pol</w:t>
      </w:r>
      <w:r w:rsidRPr="005B383F">
        <w:rPr>
          <w:bCs/>
          <w:i/>
          <w:iCs/>
        </w:rPr>
        <w:t>i</w:t>
      </w:r>
      <w:r w:rsidRPr="005B383F">
        <w:rPr>
          <w:bCs/>
          <w:i/>
          <w:iCs/>
        </w:rPr>
        <w:t>ciers</w:t>
      </w:r>
      <w:r w:rsidRPr="005B383F">
        <w:rPr>
          <w:bCs/>
        </w:rPr>
        <w:t xml:space="preserve"> ». Il s’est par ailleurs abstenu de condamner les témoins pour outrage au tribunal. 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Appelé à témoigner, le sergent-détective Bisaillon s’y est catégor</w:t>
      </w:r>
      <w:r w:rsidRPr="005B383F">
        <w:rPr>
          <w:bCs/>
        </w:rPr>
        <w:t>i</w:t>
      </w:r>
      <w:r w:rsidRPr="005B383F">
        <w:rPr>
          <w:bCs/>
        </w:rPr>
        <w:t>qu</w:t>
      </w:r>
      <w:r w:rsidRPr="005B383F">
        <w:rPr>
          <w:bCs/>
        </w:rPr>
        <w:t>e</w:t>
      </w:r>
      <w:r w:rsidRPr="005B383F">
        <w:rPr>
          <w:bCs/>
        </w:rPr>
        <w:t>ment refusé et son avocat s’est adressé aux tribunaux, au motif que la Co</w:t>
      </w:r>
      <w:r w:rsidRPr="005B383F">
        <w:rPr>
          <w:bCs/>
        </w:rPr>
        <w:t>m</w:t>
      </w:r>
      <w:r w:rsidRPr="005B383F">
        <w:rPr>
          <w:bCs/>
        </w:rPr>
        <w:t xml:space="preserve">mission avait violé la confidentialité des sources policières ainsi que la règle de </w:t>
      </w:r>
      <w:r w:rsidRPr="005B383F">
        <w:rPr>
          <w:bCs/>
          <w:i/>
          <w:iCs/>
        </w:rPr>
        <w:t>common law</w:t>
      </w:r>
      <w:r w:rsidRPr="005B383F">
        <w:rPr>
          <w:bCs/>
        </w:rPr>
        <w:t xml:space="preserve"> britannique qui interdit la divulg</w:t>
      </w:r>
      <w:r w:rsidRPr="005B383F">
        <w:rPr>
          <w:bCs/>
        </w:rPr>
        <w:t>a</w:t>
      </w:r>
      <w:r w:rsidRPr="005B383F">
        <w:rPr>
          <w:bCs/>
        </w:rPr>
        <w:t>tion de l’identité des ind</w:t>
      </w:r>
      <w:r w:rsidRPr="005B383F">
        <w:rPr>
          <w:bCs/>
        </w:rPr>
        <w:t>i</w:t>
      </w:r>
      <w:r w:rsidRPr="005B383F">
        <w:rPr>
          <w:bCs/>
        </w:rPr>
        <w:t>cateurs de police. Dans une communauté de vues, les tribunaux du Québec, Cour supérieure et Cour d’Appel, ont rejeté les arguments de la poursuite, est</w:t>
      </w:r>
      <w:r w:rsidRPr="005B383F">
        <w:rPr>
          <w:bCs/>
        </w:rPr>
        <w:t>i</w:t>
      </w:r>
      <w:r w:rsidRPr="005B383F">
        <w:rPr>
          <w:bCs/>
        </w:rPr>
        <w:t xml:space="preserve">mant que, selon les propos du juge en chef Jules Deschênes de la Cour supérieure, même s’ils sont indépendants de l’appareil politique, les services policiers </w:t>
      </w:r>
      <w:r w:rsidRPr="005B383F">
        <w:rPr>
          <w:bCs/>
          <w:i/>
          <w:iCs/>
        </w:rPr>
        <w:t>« ne const</w:t>
      </w:r>
      <w:r w:rsidRPr="005B383F">
        <w:rPr>
          <w:bCs/>
          <w:i/>
          <w:iCs/>
        </w:rPr>
        <w:t>i</w:t>
      </w:r>
      <w:r w:rsidRPr="005B383F">
        <w:rPr>
          <w:bCs/>
          <w:i/>
          <w:iCs/>
        </w:rPr>
        <w:t>tuent pas un État dans l’État et ne doivent pas aspirer à le devenir</w:t>
      </w:r>
      <w:r w:rsidRPr="005B383F">
        <w:rPr>
          <w:bCs/>
        </w:rPr>
        <w:t xml:space="preserve"> ». Mais la Cour suprême du Canada a renversé ces décisions, i</w:t>
      </w:r>
      <w:r w:rsidRPr="005B383F">
        <w:rPr>
          <w:bCs/>
        </w:rPr>
        <w:t>m</w:t>
      </w:r>
      <w:r w:rsidRPr="005B383F">
        <w:rPr>
          <w:bCs/>
        </w:rPr>
        <w:t xml:space="preserve">posant la primauté de la </w:t>
      </w:r>
      <w:r w:rsidRPr="005B383F">
        <w:rPr>
          <w:bCs/>
          <w:i/>
          <w:iCs/>
        </w:rPr>
        <w:t>common</w:t>
      </w:r>
      <w:r w:rsidRPr="005B383F">
        <w:rPr>
          <w:bCs/>
        </w:rPr>
        <w:t xml:space="preserve"> </w:t>
      </w:r>
      <w:r w:rsidRPr="005B383F">
        <w:rPr>
          <w:bCs/>
          <w:i/>
          <w:iCs/>
        </w:rPr>
        <w:t>law</w:t>
      </w:r>
      <w:r w:rsidRPr="005B383F">
        <w:rPr>
          <w:bCs/>
        </w:rPr>
        <w:t>.</w:t>
      </w:r>
    </w:p>
    <w:p w:rsidR="005C5342" w:rsidRPr="005B383F" w:rsidRDefault="005C5342" w:rsidP="005C5342">
      <w:pPr>
        <w:spacing w:before="120" w:after="120"/>
        <w:jc w:val="both"/>
        <w:rPr>
          <w:bCs/>
        </w:rPr>
      </w:pPr>
      <w:r w:rsidRPr="005B383F">
        <w:rPr>
          <w:bCs/>
        </w:rPr>
        <w:t>Après ces événements, la Commission a tenu une dernière série d’audiences, en février 1980, au cours desquelles l’informatrice Car</w:t>
      </w:r>
      <w:r w:rsidRPr="005B383F">
        <w:rPr>
          <w:bCs/>
        </w:rPr>
        <w:t>o</w:t>
      </w:r>
      <w:r w:rsidRPr="005B383F">
        <w:rPr>
          <w:bCs/>
        </w:rPr>
        <w:t>le Devault et le lieutenant-détective Julien Giguère sont revenus t</w:t>
      </w:r>
      <w:r w:rsidRPr="005B383F">
        <w:rPr>
          <w:bCs/>
        </w:rPr>
        <w:t>é</w:t>
      </w:r>
      <w:r w:rsidRPr="005B383F">
        <w:rPr>
          <w:bCs/>
        </w:rPr>
        <w:t>moigner. Un grand nombre de témoins ont également été interrogés sur les ramifications de l’Opération « Poupette » dont Carole Devault était le personnage princ</w:t>
      </w:r>
      <w:r w:rsidRPr="005B383F">
        <w:rPr>
          <w:bCs/>
        </w:rPr>
        <w:t>i</w:t>
      </w:r>
      <w:r w:rsidRPr="005B383F">
        <w:rPr>
          <w:bCs/>
        </w:rPr>
        <w:t>pal, ainsi que, à huis clos, un témoin non identifié, à la demande de Robert Comeau.</w:t>
      </w:r>
    </w:p>
    <w:p w:rsidR="005C5342" w:rsidRDefault="005C5342">
      <w:pPr>
        <w:jc w:val="both"/>
      </w:pPr>
    </w:p>
    <w:p w:rsidR="005C5342" w:rsidRDefault="005C5342">
      <w:pPr>
        <w:jc w:val="both"/>
      </w:pPr>
    </w:p>
    <w:p w:rsidR="005C5342" w:rsidRDefault="005C5342">
      <w:pPr>
        <w:jc w:val="both"/>
      </w:pPr>
      <w:r>
        <w:t>Fin du texte</w:t>
      </w:r>
    </w:p>
    <w:p w:rsidR="005C5342" w:rsidRDefault="005C5342">
      <w:pPr>
        <w:jc w:val="both"/>
      </w:pPr>
    </w:p>
    <w:sectPr w:rsidR="005C5342" w:rsidSect="005C5342">
      <w:headerReference w:type="default" r:id="rId18"/>
      <w:pgSz w:w="12240" w:h="15840"/>
      <w:pgMar w:top="1800" w:right="1440" w:bottom="1440" w:left="2160" w:header="720" w:footer="72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058" w:rsidRDefault="00966058">
      <w:r>
        <w:separator/>
      </w:r>
    </w:p>
  </w:endnote>
  <w:endnote w:type="continuationSeparator" w:id="0">
    <w:p w:rsidR="00966058" w:rsidRDefault="0096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mes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058" w:rsidRDefault="00966058">
      <w:pPr>
        <w:ind w:firstLine="0"/>
      </w:pPr>
      <w:r>
        <w:separator/>
      </w:r>
    </w:p>
  </w:footnote>
  <w:footnote w:type="continuationSeparator" w:id="0">
    <w:p w:rsidR="00966058" w:rsidRDefault="00966058">
      <w:pPr>
        <w:ind w:firstLine="0"/>
      </w:pPr>
      <w:r>
        <w:separator/>
      </w:r>
    </w:p>
  </w:footnote>
  <w:footnote w:id="1">
    <w:p w:rsidR="005C5342" w:rsidRDefault="005C53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5B383F">
        <w:t>David Cargill McDonald, Rapport de la commission d'enquête sur certa</w:t>
      </w:r>
      <w:r w:rsidRPr="005B383F">
        <w:t>i</w:t>
      </w:r>
      <w:r w:rsidRPr="005B383F">
        <w:t>nes activités de la Gendarmerie royale du Canada, Ott</w:t>
      </w:r>
      <w:r w:rsidRPr="005B383F">
        <w:t>a</w:t>
      </w:r>
      <w:r w:rsidRPr="005B383F">
        <w:t>wa, 1981, vol. 3, p. 25-26.</w:t>
      </w:r>
    </w:p>
  </w:footnote>
  <w:footnote w:id="2">
    <w:p w:rsidR="005C5342" w:rsidRDefault="005C53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5B383F">
        <w:rPr>
          <w:i/>
        </w:rPr>
        <w:t>Idem</w:t>
      </w:r>
      <w:r w:rsidRPr="005B383F">
        <w:t>.</w:t>
      </w:r>
    </w:p>
  </w:footnote>
  <w:footnote w:id="3">
    <w:p w:rsidR="005C5342" w:rsidRDefault="005C53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5B383F">
        <w:rPr>
          <w:i/>
        </w:rPr>
        <w:t xml:space="preserve">Événements de la crise </w:t>
      </w:r>
      <w:r w:rsidRPr="005B383F">
        <w:t xml:space="preserve">d’octobre, notes sténographiques du 22 février 1978, p. 115, reproduites dans le </w:t>
      </w:r>
      <w:r w:rsidRPr="005B383F">
        <w:rPr>
          <w:i/>
          <w:iCs/>
        </w:rPr>
        <w:t>Rapport Keable</w:t>
      </w:r>
      <w:r w:rsidRPr="005B383F">
        <w:t>, p. 236.</w:t>
      </w:r>
    </w:p>
  </w:footnote>
  <w:footnote w:id="4">
    <w:p w:rsidR="005C5342" w:rsidRDefault="005C53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5B383F">
        <w:t>Rapport Keable, p. 18.</w:t>
      </w:r>
    </w:p>
  </w:footnote>
  <w:footnote w:id="5">
    <w:p w:rsidR="005C5342" w:rsidRDefault="005C53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5B383F">
        <w:rPr>
          <w:bCs/>
          <w:i/>
          <w:iCs/>
        </w:rPr>
        <w:t xml:space="preserve">Rapport Keable, </w:t>
      </w:r>
      <w:r w:rsidRPr="005B383F">
        <w:rPr>
          <w:bCs/>
        </w:rPr>
        <w:t>p. 36.</w:t>
      </w:r>
    </w:p>
  </w:footnote>
  <w:footnote w:id="6">
    <w:p w:rsidR="005C5342" w:rsidRDefault="005C53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5B383F">
        <w:rPr>
          <w:i/>
        </w:rPr>
        <w:t>Ibid</w:t>
      </w:r>
      <w:r w:rsidRPr="005B383F">
        <w:t>., p. 50.</w:t>
      </w:r>
    </w:p>
  </w:footnote>
  <w:footnote w:id="7">
    <w:p w:rsidR="005C5342" w:rsidRDefault="005C53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5B383F">
        <w:rPr>
          <w:i/>
          <w:iCs/>
        </w:rPr>
        <w:t>Ibid</w:t>
      </w:r>
      <w:r>
        <w:rPr>
          <w:i/>
          <w:iCs/>
        </w:rPr>
        <w:t>.</w:t>
      </w:r>
      <w:r w:rsidRPr="005B383F">
        <w:t>, p. 127-193.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42" w:rsidRDefault="005C5342" w:rsidP="005C5342">
    <w:pPr>
      <w:pStyle w:val="En-tte"/>
      <w:tabs>
        <w:tab w:val="clear" w:pos="4320"/>
        <w:tab w:val="clear" w:pos="8640"/>
        <w:tab w:val="right" w:pos="7380"/>
        <w:tab w:val="right" w:pos="7920"/>
      </w:tabs>
      <w:ind w:firstLine="0"/>
      <w:rPr>
        <w:rFonts w:ascii="Times New Roman" w:hAnsi="Times New Roman"/>
      </w:rPr>
    </w:pPr>
    <w:r>
      <w:rPr>
        <w:rFonts w:ascii="Times New Roman" w:hAnsi="Times New Roman"/>
      </w:rPr>
      <w:tab/>
      <w:t>Louis Gill, “La Commission Keable.” (2020)</w:t>
    </w:r>
    <w:r>
      <w:rPr>
        <w:rFonts w:ascii="Times New Roman" w:hAnsi="Times New Roman"/>
      </w:rPr>
      <w:tab/>
    </w:r>
    <w:r>
      <w:rPr>
        <w:rStyle w:val="Numrodepage"/>
        <w:rFonts w:ascii="Times New Roman" w:hAnsi="Times New Roman"/>
      </w:rPr>
      <w:fldChar w:fldCharType="begin"/>
    </w:r>
    <w:r>
      <w:rPr>
        <w:rStyle w:val="Numrodepage"/>
        <w:rFonts w:ascii="Times New Roman" w:hAnsi="Times New Roman"/>
      </w:rPr>
      <w:instrText xml:space="preserve"> </w:instrText>
    </w:r>
    <w:r w:rsidR="00966058">
      <w:rPr>
        <w:rStyle w:val="Numrodepage"/>
        <w:rFonts w:ascii="Times New Roman" w:hAnsi="Times New Roman"/>
      </w:rPr>
      <w:instrText>PAGE</w:instrText>
    </w:r>
    <w:r>
      <w:rPr>
        <w:rStyle w:val="Numrodepage"/>
        <w:rFonts w:ascii="Times New Roman" w:hAnsi="Times New Roman"/>
      </w:rPr>
      <w:instrText xml:space="preserve"> </w:instrText>
    </w:r>
    <w:r>
      <w:rPr>
        <w:rStyle w:val="Numrodepage"/>
        <w:rFonts w:ascii="Times New Roman" w:hAnsi="Times New Roman"/>
      </w:rPr>
      <w:fldChar w:fldCharType="separate"/>
    </w:r>
    <w:r>
      <w:rPr>
        <w:rStyle w:val="Numrodepage"/>
        <w:rFonts w:ascii="Times New Roman" w:hAnsi="Times New Roman"/>
        <w:noProof/>
      </w:rPr>
      <w:t>2</w:t>
    </w:r>
    <w:r>
      <w:rPr>
        <w:rStyle w:val="Numrodepage"/>
        <w:rFonts w:ascii="Times New Roman" w:hAnsi="Times New Roman"/>
      </w:rPr>
      <w:fldChar w:fldCharType="end"/>
    </w:r>
  </w:p>
  <w:p w:rsidR="005C5342" w:rsidRDefault="005C5342">
    <w:pPr>
      <w:pBdr>
        <w:top w:val="single" w:sz="4" w:space="1" w:color="auto"/>
      </w:pBdr>
      <w:spacing w:before="60"/>
      <w:rPr>
        <w:rStyle w:val="Numrodepa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54FCF"/>
    <w:multiLevelType w:val="hybridMultilevel"/>
    <w:tmpl w:val="024E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53"/>
    <w:rsid w:val="005C5342"/>
    <w:rsid w:val="00966058"/>
    <w:rsid w:val="00F4160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228B645-EF93-AE46-BDE3-2EAEDF2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0623"/>
    <w:pPr>
      <w:ind w:firstLine="360"/>
    </w:pPr>
    <w:rPr>
      <w:rFonts w:ascii="Times New Roman" w:eastAsia="Times New Roman" w:hAnsi="Times New Roman"/>
      <w:sz w:val="28"/>
      <w:lang w:eastAsia="en-US"/>
    </w:rPr>
  </w:style>
  <w:style w:type="paragraph" w:styleId="Titre1">
    <w:name w:val="heading 1"/>
    <w:next w:val="Normal"/>
    <w:qFormat/>
    <w:rsid w:val="0058603D"/>
    <w:pPr>
      <w:outlineLvl w:val="0"/>
    </w:pPr>
    <w:rPr>
      <w:rFonts w:eastAsia="Times New Roman"/>
      <w:noProof/>
      <w:lang w:eastAsia="en-US"/>
    </w:rPr>
  </w:style>
  <w:style w:type="paragraph" w:styleId="Titre2">
    <w:name w:val="heading 2"/>
    <w:next w:val="Normal"/>
    <w:qFormat/>
    <w:rsid w:val="0058603D"/>
    <w:pPr>
      <w:outlineLvl w:val="1"/>
    </w:pPr>
    <w:rPr>
      <w:rFonts w:eastAsia="Times New Roman"/>
      <w:noProof/>
      <w:lang w:eastAsia="en-US"/>
    </w:rPr>
  </w:style>
  <w:style w:type="paragraph" w:styleId="Titre3">
    <w:name w:val="heading 3"/>
    <w:next w:val="Normal"/>
    <w:qFormat/>
    <w:rsid w:val="0058603D"/>
    <w:pPr>
      <w:outlineLvl w:val="2"/>
    </w:pPr>
    <w:rPr>
      <w:rFonts w:eastAsia="Times New Roman"/>
      <w:noProof/>
      <w:lang w:eastAsia="en-US"/>
    </w:rPr>
  </w:style>
  <w:style w:type="paragraph" w:styleId="Titre4">
    <w:name w:val="heading 4"/>
    <w:next w:val="Normal"/>
    <w:qFormat/>
    <w:rsid w:val="0058603D"/>
    <w:pPr>
      <w:outlineLvl w:val="3"/>
    </w:pPr>
    <w:rPr>
      <w:rFonts w:eastAsia="Times New Roman"/>
      <w:noProof/>
      <w:lang w:eastAsia="en-US"/>
    </w:rPr>
  </w:style>
  <w:style w:type="paragraph" w:styleId="Titre5">
    <w:name w:val="heading 5"/>
    <w:next w:val="Normal"/>
    <w:qFormat/>
    <w:rsid w:val="0058603D"/>
    <w:pPr>
      <w:outlineLvl w:val="4"/>
    </w:pPr>
    <w:rPr>
      <w:rFonts w:eastAsia="Times New Roman"/>
      <w:noProof/>
      <w:lang w:eastAsia="en-US"/>
    </w:rPr>
  </w:style>
  <w:style w:type="paragraph" w:styleId="Titre6">
    <w:name w:val="heading 6"/>
    <w:next w:val="Normal"/>
    <w:qFormat/>
    <w:rsid w:val="0058603D"/>
    <w:pPr>
      <w:outlineLvl w:val="5"/>
    </w:pPr>
    <w:rPr>
      <w:rFonts w:eastAsia="Times New Roman"/>
      <w:noProof/>
      <w:lang w:eastAsia="en-US"/>
    </w:rPr>
  </w:style>
  <w:style w:type="paragraph" w:styleId="Titre7">
    <w:name w:val="heading 7"/>
    <w:next w:val="Normal"/>
    <w:qFormat/>
    <w:rsid w:val="0058603D"/>
    <w:pPr>
      <w:outlineLvl w:val="6"/>
    </w:pPr>
    <w:rPr>
      <w:rFonts w:eastAsia="Times New Roman"/>
      <w:noProof/>
      <w:lang w:eastAsia="en-US"/>
    </w:rPr>
  </w:style>
  <w:style w:type="paragraph" w:styleId="Titre8">
    <w:name w:val="heading 8"/>
    <w:next w:val="Normal"/>
    <w:qFormat/>
    <w:rsid w:val="0058603D"/>
    <w:pPr>
      <w:outlineLvl w:val="7"/>
    </w:pPr>
    <w:rPr>
      <w:rFonts w:eastAsia="Times New Roman"/>
      <w:noProof/>
      <w:lang w:eastAsia="en-US"/>
    </w:rPr>
  </w:style>
  <w:style w:type="paragraph" w:styleId="Titre9">
    <w:name w:val="heading 9"/>
    <w:next w:val="Normal"/>
    <w:qFormat/>
    <w:rsid w:val="0058603D"/>
    <w:pPr>
      <w:outlineLvl w:val="8"/>
    </w:pPr>
    <w:rPr>
      <w:rFonts w:eastAsia="Times New Roman"/>
      <w:noProof/>
      <w:lang w:eastAsia="en-US"/>
    </w:rPr>
  </w:style>
  <w:style w:type="character" w:default="1" w:styleId="Policepardfaut">
    <w:name w:val="Default Paragraph Font"/>
    <w:rsid w:val="0058603D"/>
  </w:style>
  <w:style w:type="table" w:default="1" w:styleId="TableauNormal">
    <w:name w:val="Normal Table"/>
    <w:semiHidden/>
    <w:rsid w:val="0058603D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58603D"/>
  </w:style>
  <w:style w:type="character" w:styleId="Appeldenotedefin">
    <w:name w:val="endnote reference"/>
    <w:basedOn w:val="Policepardfaut"/>
    <w:rsid w:val="0058603D"/>
    <w:rPr>
      <w:vertAlign w:val="superscript"/>
    </w:rPr>
  </w:style>
  <w:style w:type="character" w:styleId="Appelnotedebasdep">
    <w:name w:val="footnote reference"/>
    <w:basedOn w:val="Policepardfaut"/>
    <w:autoRedefine/>
    <w:uiPriority w:val="99"/>
    <w:rsid w:val="004D116B"/>
    <w:rPr>
      <w:color w:val="FF0000"/>
      <w:position w:val="6"/>
      <w:sz w:val="20"/>
    </w:rPr>
  </w:style>
  <w:style w:type="paragraph" w:styleId="Grillecouleur-Accent1">
    <w:name w:val="Colorful Grid Accent 1"/>
    <w:basedOn w:val="Normal"/>
    <w:autoRedefine/>
    <w:rsid w:val="004D116B"/>
    <w:pPr>
      <w:tabs>
        <w:tab w:val="left" w:pos="1080"/>
      </w:tabs>
      <w:ind w:left="720" w:firstLine="0"/>
      <w:jc w:val="both"/>
    </w:pPr>
    <w:rPr>
      <w:color w:val="000080"/>
      <w:sz w:val="24"/>
    </w:rPr>
  </w:style>
  <w:style w:type="paragraph" w:customStyle="1" w:styleId="Niveau1">
    <w:name w:val="Niveau 1"/>
    <w:basedOn w:val="Normal"/>
    <w:rsid w:val="0058603D"/>
    <w:pPr>
      <w:ind w:firstLine="0"/>
    </w:pPr>
    <w:rPr>
      <w:b/>
      <w:color w:val="FF0000"/>
      <w:sz w:val="72"/>
    </w:rPr>
  </w:style>
  <w:style w:type="paragraph" w:customStyle="1" w:styleId="Niveau11">
    <w:name w:val="Niveau 1.1"/>
    <w:basedOn w:val="Niveau1"/>
    <w:autoRedefine/>
    <w:rsid w:val="0058603D"/>
    <w:rPr>
      <w:color w:val="008000"/>
      <w:sz w:val="60"/>
    </w:rPr>
  </w:style>
  <w:style w:type="paragraph" w:customStyle="1" w:styleId="Niveau12">
    <w:name w:val="Niveau 1.2"/>
    <w:basedOn w:val="Niveau11"/>
    <w:autoRedefine/>
    <w:rsid w:val="0058603D"/>
    <w:pPr>
      <w:jc w:val="center"/>
    </w:pPr>
    <w:rPr>
      <w:i/>
      <w:color w:val="000080"/>
      <w:sz w:val="28"/>
    </w:rPr>
  </w:style>
  <w:style w:type="paragraph" w:customStyle="1" w:styleId="Niveau2">
    <w:name w:val="Niveau 2"/>
    <w:basedOn w:val="Normal"/>
    <w:rsid w:val="0058603D"/>
    <w:rPr>
      <w:rFonts w:ascii="GillSans" w:hAnsi="GillSans"/>
      <w:sz w:val="20"/>
    </w:rPr>
  </w:style>
  <w:style w:type="paragraph" w:customStyle="1" w:styleId="Niveau3">
    <w:name w:val="Niveau 3"/>
    <w:basedOn w:val="Normal"/>
    <w:autoRedefine/>
    <w:rsid w:val="0058603D"/>
    <w:pPr>
      <w:ind w:left="1080" w:hanging="720"/>
    </w:pPr>
    <w:rPr>
      <w:b/>
    </w:rPr>
  </w:style>
  <w:style w:type="paragraph" w:customStyle="1" w:styleId="Titreniveau1">
    <w:name w:val="Titre niveau 1"/>
    <w:basedOn w:val="Niveau1"/>
    <w:autoRedefine/>
    <w:rsid w:val="0058603D"/>
    <w:pPr>
      <w:pBdr>
        <w:bottom w:val="single" w:sz="4" w:space="1" w:color="auto"/>
      </w:pBdr>
      <w:ind w:right="1980"/>
    </w:pPr>
    <w:rPr>
      <w:b w:val="0"/>
      <w:sz w:val="60"/>
    </w:rPr>
  </w:style>
  <w:style w:type="paragraph" w:customStyle="1" w:styleId="Titreniveau2">
    <w:name w:val="Titre niveau 2"/>
    <w:basedOn w:val="Titreniveau1"/>
    <w:autoRedefine/>
    <w:rsid w:val="0058603D"/>
    <w:pPr>
      <w:widowControl w:val="0"/>
      <w:pBdr>
        <w:bottom w:val="none" w:sz="0" w:space="0" w:color="auto"/>
      </w:pBdr>
      <w:ind w:right="0"/>
    </w:pPr>
    <w:rPr>
      <w:color w:val="800000"/>
      <w:sz w:val="48"/>
    </w:rPr>
  </w:style>
  <w:style w:type="paragraph" w:styleId="Corpsdetexte">
    <w:name w:val="Body Text"/>
    <w:basedOn w:val="Normal"/>
    <w:rsid w:val="0058603D"/>
    <w:pPr>
      <w:spacing w:before="360" w:after="240"/>
      <w:ind w:firstLine="0"/>
      <w:jc w:val="center"/>
    </w:pPr>
    <w:rPr>
      <w:sz w:val="72"/>
    </w:rPr>
  </w:style>
  <w:style w:type="paragraph" w:styleId="Corpsdetexte2">
    <w:name w:val="Body Text 2"/>
    <w:basedOn w:val="Normal"/>
    <w:rsid w:val="0058603D"/>
    <w:pPr>
      <w:ind w:firstLine="0"/>
      <w:jc w:val="both"/>
    </w:pPr>
    <w:rPr>
      <w:rFonts w:ascii="Arial" w:hAnsi="Arial"/>
    </w:rPr>
  </w:style>
  <w:style w:type="paragraph" w:styleId="Corpsdetexte3">
    <w:name w:val="Body Text 3"/>
    <w:basedOn w:val="Normal"/>
    <w:rsid w:val="0058603D"/>
    <w:pPr>
      <w:tabs>
        <w:tab w:val="left" w:pos="510"/>
        <w:tab w:val="left" w:pos="510"/>
      </w:tabs>
      <w:ind w:firstLine="0"/>
      <w:jc w:val="both"/>
    </w:pPr>
    <w:rPr>
      <w:rFonts w:ascii="Arial" w:hAnsi="Arial"/>
      <w:sz w:val="20"/>
    </w:rPr>
  </w:style>
  <w:style w:type="paragraph" w:styleId="En-tte">
    <w:name w:val="header"/>
    <w:basedOn w:val="Normal"/>
    <w:rsid w:val="0058603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paragraph" w:customStyle="1" w:styleId="En-tteimpaire">
    <w:name w:val="En-tÍte impaire"/>
    <w:basedOn w:val="En-tte"/>
    <w:rsid w:val="0058603D"/>
    <w:pPr>
      <w:tabs>
        <w:tab w:val="right" w:pos="8280"/>
        <w:tab w:val="right" w:pos="9000"/>
      </w:tabs>
      <w:ind w:firstLine="0"/>
    </w:pPr>
  </w:style>
  <w:style w:type="paragraph" w:customStyle="1" w:styleId="En-ttepaire">
    <w:name w:val="En-tÍte paire"/>
    <w:basedOn w:val="En-tte"/>
    <w:rsid w:val="0058603D"/>
    <w:pPr>
      <w:tabs>
        <w:tab w:val="left" w:pos="720"/>
      </w:tabs>
      <w:ind w:firstLine="0"/>
    </w:pPr>
  </w:style>
  <w:style w:type="paragraph" w:styleId="Lgende">
    <w:name w:val="caption"/>
    <w:basedOn w:val="Normal"/>
    <w:next w:val="Normal"/>
    <w:qFormat/>
    <w:rsid w:val="0058603D"/>
    <w:pPr>
      <w:spacing w:before="120" w:after="120"/>
    </w:pPr>
    <w:rPr>
      <w:rFonts w:ascii="GillSans" w:hAnsi="GillSans"/>
      <w:b/>
      <w:sz w:val="20"/>
    </w:rPr>
  </w:style>
  <w:style w:type="character" w:styleId="Lienhypertexte">
    <w:name w:val="Hyperlink"/>
    <w:basedOn w:val="Policepardfaut"/>
    <w:uiPriority w:val="99"/>
    <w:rsid w:val="0058603D"/>
    <w:rPr>
      <w:color w:val="0000FF"/>
      <w:u w:val="single"/>
    </w:rPr>
  </w:style>
  <w:style w:type="character" w:styleId="Lienhypertextesuivivisit">
    <w:name w:val="FollowedHyperlink"/>
    <w:basedOn w:val="Policepardfaut"/>
    <w:rsid w:val="0058603D"/>
    <w:rPr>
      <w:color w:val="800080"/>
      <w:u w:val="single"/>
    </w:rPr>
  </w:style>
  <w:style w:type="paragraph" w:customStyle="1" w:styleId="Niveau10">
    <w:name w:val="Niveau 1.0"/>
    <w:basedOn w:val="Niveau11"/>
    <w:autoRedefine/>
    <w:rsid w:val="0058603D"/>
    <w:pPr>
      <w:jc w:val="center"/>
    </w:pPr>
    <w:rPr>
      <w:b w:val="0"/>
      <w:sz w:val="48"/>
    </w:rPr>
  </w:style>
  <w:style w:type="paragraph" w:customStyle="1" w:styleId="Niveau13">
    <w:name w:val="Niveau 1.3"/>
    <w:basedOn w:val="Niveau12"/>
    <w:autoRedefine/>
    <w:rsid w:val="0058603D"/>
    <w:rPr>
      <w:b w:val="0"/>
      <w:i w:val="0"/>
      <w:color w:val="800080"/>
      <w:sz w:val="48"/>
    </w:rPr>
  </w:style>
  <w:style w:type="paragraph" w:styleId="Notedebasdepage">
    <w:name w:val="footnote text"/>
    <w:basedOn w:val="Normal"/>
    <w:link w:val="NotedebasdepageCar"/>
    <w:autoRedefine/>
    <w:uiPriority w:val="99"/>
    <w:rsid w:val="004D116B"/>
    <w:pPr>
      <w:ind w:left="360" w:hanging="360"/>
      <w:jc w:val="both"/>
    </w:pPr>
    <w:rPr>
      <w:color w:val="000000"/>
      <w:sz w:val="24"/>
    </w:rPr>
  </w:style>
  <w:style w:type="character" w:styleId="Numrodepage">
    <w:name w:val="page number"/>
    <w:basedOn w:val="Policepardfaut"/>
    <w:rsid w:val="0058603D"/>
  </w:style>
  <w:style w:type="paragraph" w:styleId="Pieddepage">
    <w:name w:val="footer"/>
    <w:basedOn w:val="Normal"/>
    <w:rsid w:val="0058603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paragraph" w:styleId="Retraitcorpsdetexte">
    <w:name w:val="Body Text Indent"/>
    <w:basedOn w:val="Normal"/>
    <w:rsid w:val="0058603D"/>
    <w:pPr>
      <w:ind w:left="20" w:firstLine="400"/>
    </w:pPr>
    <w:rPr>
      <w:rFonts w:ascii="Arial" w:hAnsi="Arial"/>
    </w:rPr>
  </w:style>
  <w:style w:type="paragraph" w:styleId="Retraitcorpsdetexte2">
    <w:name w:val="Body Text Indent 2"/>
    <w:basedOn w:val="Normal"/>
    <w:rsid w:val="0058603D"/>
    <w:pPr>
      <w:tabs>
        <w:tab w:val="left" w:pos="840"/>
        <w:tab w:val="right" w:pos="9360"/>
        <w:tab w:val="left" w:pos="840"/>
      </w:tabs>
      <w:ind w:left="20"/>
      <w:jc w:val="both"/>
    </w:pPr>
    <w:rPr>
      <w:rFonts w:ascii="Arial" w:hAnsi="Arial"/>
    </w:rPr>
  </w:style>
  <w:style w:type="paragraph" w:styleId="Retraitcorpsdetexte3">
    <w:name w:val="Body Text Indent 3"/>
    <w:basedOn w:val="Normal"/>
    <w:rsid w:val="0058603D"/>
    <w:pPr>
      <w:ind w:left="20" w:firstLine="380"/>
      <w:jc w:val="both"/>
    </w:pPr>
    <w:rPr>
      <w:rFonts w:ascii="Arial" w:hAnsi="Arial"/>
    </w:rPr>
  </w:style>
  <w:style w:type="paragraph" w:customStyle="1" w:styleId="texteenvidence">
    <w:name w:val="texte en évidence"/>
    <w:basedOn w:val="Normal"/>
    <w:rsid w:val="0058603D"/>
    <w:pPr>
      <w:widowControl w:val="0"/>
      <w:jc w:val="both"/>
    </w:pPr>
    <w:rPr>
      <w:rFonts w:ascii="Arial" w:hAnsi="Arial"/>
      <w:b/>
      <w:color w:val="FF0000"/>
    </w:rPr>
  </w:style>
  <w:style w:type="paragraph" w:styleId="Titre">
    <w:name w:val="Title"/>
    <w:basedOn w:val="Normal"/>
    <w:autoRedefine/>
    <w:qFormat/>
    <w:rsid w:val="0058603D"/>
    <w:pPr>
      <w:ind w:firstLine="0"/>
      <w:jc w:val="center"/>
    </w:pPr>
    <w:rPr>
      <w:b/>
      <w:sz w:val="48"/>
    </w:rPr>
  </w:style>
  <w:style w:type="paragraph" w:customStyle="1" w:styleId="livre">
    <w:name w:val="livre"/>
    <w:basedOn w:val="Normal"/>
    <w:rsid w:val="0058603D"/>
    <w:pPr>
      <w:tabs>
        <w:tab w:val="right" w:pos="9360"/>
      </w:tabs>
      <w:ind w:firstLine="0"/>
    </w:pPr>
    <w:rPr>
      <w:b/>
      <w:color w:val="000080"/>
      <w:sz w:val="144"/>
    </w:rPr>
  </w:style>
  <w:style w:type="paragraph" w:customStyle="1" w:styleId="livrest">
    <w:name w:val="livre_st"/>
    <w:basedOn w:val="Normal"/>
    <w:rsid w:val="0058603D"/>
    <w:pPr>
      <w:tabs>
        <w:tab w:val="right" w:pos="9360"/>
      </w:tabs>
      <w:ind w:firstLine="0"/>
    </w:pPr>
    <w:rPr>
      <w:b/>
      <w:color w:val="FF0000"/>
      <w:sz w:val="72"/>
    </w:rPr>
  </w:style>
  <w:style w:type="paragraph" w:customStyle="1" w:styleId="tableautitre">
    <w:name w:val="tableau_titre"/>
    <w:basedOn w:val="Normal"/>
    <w:rsid w:val="0058603D"/>
    <w:pPr>
      <w:ind w:firstLine="0"/>
      <w:jc w:val="center"/>
    </w:pPr>
    <w:rPr>
      <w:rFonts w:ascii="Times" w:hAnsi="Times"/>
      <w:b/>
    </w:rPr>
  </w:style>
  <w:style w:type="paragraph" w:customStyle="1" w:styleId="planche">
    <w:name w:val="planche"/>
    <w:basedOn w:val="tableautitre"/>
    <w:autoRedefine/>
    <w:rsid w:val="0058603D"/>
    <w:pPr>
      <w:widowControl w:val="0"/>
    </w:pPr>
    <w:rPr>
      <w:rFonts w:ascii="Times New Roman" w:hAnsi="Times New Roman"/>
      <w:color w:val="000080"/>
      <w:sz w:val="36"/>
    </w:rPr>
  </w:style>
  <w:style w:type="paragraph" w:customStyle="1" w:styleId="tableaust">
    <w:name w:val="tableau_st"/>
    <w:basedOn w:val="Normal"/>
    <w:rsid w:val="0058603D"/>
    <w:pPr>
      <w:ind w:firstLine="0"/>
      <w:jc w:val="center"/>
    </w:pPr>
    <w:rPr>
      <w:rFonts w:ascii="Times" w:hAnsi="Times"/>
      <w:i/>
      <w:color w:val="FF0000"/>
    </w:rPr>
  </w:style>
  <w:style w:type="paragraph" w:customStyle="1" w:styleId="planchest">
    <w:name w:val="planche_st"/>
    <w:basedOn w:val="tableaust"/>
    <w:autoRedefine/>
    <w:rsid w:val="0058603D"/>
    <w:pPr>
      <w:spacing w:before="60"/>
    </w:pPr>
    <w:rPr>
      <w:rFonts w:ascii="Times New Roman" w:hAnsi="Times New Roman"/>
      <w:i w:val="0"/>
      <w:sz w:val="36"/>
    </w:rPr>
  </w:style>
  <w:style w:type="paragraph" w:customStyle="1" w:styleId="section">
    <w:name w:val="section"/>
    <w:basedOn w:val="Normal"/>
    <w:rsid w:val="0058603D"/>
    <w:pPr>
      <w:ind w:firstLine="0"/>
      <w:jc w:val="center"/>
    </w:pPr>
    <w:rPr>
      <w:rFonts w:ascii="Times" w:hAnsi="Times"/>
      <w:b/>
      <w:sz w:val="48"/>
    </w:rPr>
  </w:style>
  <w:style w:type="paragraph" w:customStyle="1" w:styleId="suite">
    <w:name w:val="suite"/>
    <w:basedOn w:val="Normal"/>
    <w:rsid w:val="0058603D"/>
    <w:pPr>
      <w:tabs>
        <w:tab w:val="right" w:pos="9360"/>
      </w:tabs>
      <w:ind w:firstLine="0"/>
      <w:jc w:val="center"/>
    </w:pPr>
    <w:rPr>
      <w:rFonts w:ascii="Times" w:hAnsi="Times"/>
      <w:b/>
    </w:rPr>
  </w:style>
  <w:style w:type="paragraph" w:customStyle="1" w:styleId="tdmchap">
    <w:name w:val="tdm_chap"/>
    <w:basedOn w:val="Normal"/>
    <w:rsid w:val="0058603D"/>
    <w:pPr>
      <w:tabs>
        <w:tab w:val="left" w:pos="1980"/>
      </w:tabs>
      <w:ind w:firstLine="0"/>
    </w:pPr>
    <w:rPr>
      <w:rFonts w:ascii="Times" w:hAnsi="Times"/>
      <w:b/>
    </w:rPr>
  </w:style>
  <w:style w:type="paragraph" w:customStyle="1" w:styleId="partie">
    <w:name w:val="partie"/>
    <w:basedOn w:val="Normal"/>
    <w:rsid w:val="0058603D"/>
    <w:pPr>
      <w:ind w:firstLine="0"/>
      <w:jc w:val="right"/>
    </w:pPr>
    <w:rPr>
      <w:b/>
      <w:sz w:val="120"/>
    </w:rPr>
  </w:style>
  <w:style w:type="paragraph" w:styleId="Normalcentr">
    <w:name w:val="Block Text"/>
    <w:basedOn w:val="Normal"/>
    <w:rsid w:val="0058603D"/>
    <w:pPr>
      <w:ind w:left="180" w:right="180"/>
      <w:jc w:val="both"/>
    </w:pPr>
  </w:style>
  <w:style w:type="paragraph" w:customStyle="1" w:styleId="Titlest">
    <w:name w:val="Title_st"/>
    <w:basedOn w:val="Titre"/>
    <w:autoRedefine/>
    <w:rsid w:val="00831282"/>
    <w:rPr>
      <w:b w:val="0"/>
      <w:sz w:val="96"/>
    </w:rPr>
  </w:style>
  <w:style w:type="paragraph" w:styleId="TableauGrille2">
    <w:name w:val="Grid Table 2"/>
    <w:basedOn w:val="Normal"/>
    <w:rsid w:val="0058603D"/>
    <w:pPr>
      <w:ind w:left="360" w:hanging="360"/>
    </w:pPr>
    <w:rPr>
      <w:sz w:val="20"/>
      <w:lang w:val="fr-FR"/>
    </w:rPr>
  </w:style>
  <w:style w:type="paragraph" w:styleId="Notedefin">
    <w:name w:val="endnote text"/>
    <w:basedOn w:val="Normal"/>
    <w:rsid w:val="0058603D"/>
    <w:pPr>
      <w:spacing w:before="240"/>
    </w:pPr>
    <w:rPr>
      <w:sz w:val="20"/>
      <w:lang w:val="fr-FR"/>
    </w:rPr>
  </w:style>
  <w:style w:type="paragraph" w:customStyle="1" w:styleId="niveau14">
    <w:name w:val="niveau 1"/>
    <w:basedOn w:val="Normal"/>
    <w:rsid w:val="0058603D"/>
    <w:pPr>
      <w:spacing w:before="240"/>
      <w:ind w:firstLine="0"/>
    </w:pPr>
    <w:rPr>
      <w:rFonts w:ascii="B Times Bold" w:hAnsi="B Times Bold"/>
      <w:lang w:val="fr-FR"/>
    </w:rPr>
  </w:style>
  <w:style w:type="paragraph" w:customStyle="1" w:styleId="Titlest2">
    <w:name w:val="Title_st2"/>
    <w:basedOn w:val="Titlest"/>
    <w:rsid w:val="0058603D"/>
  </w:style>
  <w:style w:type="table" w:styleId="Grilledutableau">
    <w:name w:val="Table Grid"/>
    <w:basedOn w:val="TableauNormal"/>
    <w:uiPriority w:val="59"/>
    <w:rsid w:val="00DD26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Normal"/>
    <w:autoRedefine/>
    <w:rsid w:val="00253A95"/>
    <w:pPr>
      <w:ind w:firstLine="0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5B383F"/>
    <w:rPr>
      <w:rFonts w:ascii="Times New Roman" w:eastAsia="Times New Roman" w:hAnsi="Times New Roman"/>
      <w:color w:val="000000"/>
      <w:sz w:val="24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mt-sociologue.uqac.ca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mailto:classiques.sc.soc@gmail.com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heque.uqac.c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ill.louis@uqam.ca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2525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“La Commission Keable.”</vt:lpstr>
    </vt:vector>
  </TitlesOfParts>
  <Manager>Jean marie Tremblay, sociologue, bénévole, 2021</Manager>
  <Company>Les Classiques des sciences sociales</Company>
  <LinksUpToDate>false</LinksUpToDate>
  <CharactersWithSpaces>16385</CharactersWithSpaces>
  <SharedDoc>false</SharedDoc>
  <HyperlinkBase/>
  <HLinks>
    <vt:vector size="66" baseType="variant">
      <vt:variant>
        <vt:i4>8257662</vt:i4>
      </vt:variant>
      <vt:variant>
        <vt:i4>15</vt:i4>
      </vt:variant>
      <vt:variant>
        <vt:i4>0</vt:i4>
      </vt:variant>
      <vt:variant>
        <vt:i4>5</vt:i4>
      </vt:variant>
      <vt:variant>
        <vt:lpwstr>mailto:gill.louis@uqam.ca</vt:lpwstr>
      </vt:variant>
      <vt:variant>
        <vt:lpwstr/>
      </vt:variant>
      <vt:variant>
        <vt:i4>2097274</vt:i4>
      </vt:variant>
      <vt:variant>
        <vt:i4>12</vt:i4>
      </vt:variant>
      <vt:variant>
        <vt:i4>0</vt:i4>
      </vt:variant>
      <vt:variant>
        <vt:i4>5</vt:i4>
      </vt:variant>
      <vt:variant>
        <vt:lpwstr>http://jmt-sociologue.uqac.ca/</vt:lpwstr>
      </vt:variant>
      <vt:variant>
        <vt:lpwstr/>
      </vt:variant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mailto:classiques.sc.soc@gmail.com</vt:lpwstr>
      </vt:variant>
      <vt:variant>
        <vt:lpwstr/>
      </vt:variant>
      <vt:variant>
        <vt:i4>5636164</vt:i4>
      </vt:variant>
      <vt:variant>
        <vt:i4>6</vt:i4>
      </vt:variant>
      <vt:variant>
        <vt:i4>0</vt:i4>
      </vt:variant>
      <vt:variant>
        <vt:i4>5</vt:i4>
      </vt:variant>
      <vt:variant>
        <vt:lpwstr>http://bibliotheque.uqac.ca/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2228293</vt:i4>
      </vt:variant>
      <vt:variant>
        <vt:i4>2290</vt:i4>
      </vt:variant>
      <vt:variant>
        <vt:i4>1025</vt:i4>
      </vt:variant>
      <vt:variant>
        <vt:i4>1</vt:i4>
      </vt:variant>
      <vt:variant>
        <vt:lpwstr>css_logo_gris</vt:lpwstr>
      </vt:variant>
      <vt:variant>
        <vt:lpwstr/>
      </vt:variant>
      <vt:variant>
        <vt:i4>5111880</vt:i4>
      </vt:variant>
      <vt:variant>
        <vt:i4>2579</vt:i4>
      </vt:variant>
      <vt:variant>
        <vt:i4>1026</vt:i4>
      </vt:variant>
      <vt:variant>
        <vt:i4>1</vt:i4>
      </vt:variant>
      <vt:variant>
        <vt:lpwstr>UQAC_logo_2018</vt:lpwstr>
      </vt:variant>
      <vt:variant>
        <vt:lpwstr/>
      </vt:variant>
      <vt:variant>
        <vt:i4>4194334</vt:i4>
      </vt:variant>
      <vt:variant>
        <vt:i4>5255</vt:i4>
      </vt:variant>
      <vt:variant>
        <vt:i4>1029</vt:i4>
      </vt:variant>
      <vt:variant>
        <vt:i4>1</vt:i4>
      </vt:variant>
      <vt:variant>
        <vt:lpwstr>Boite_aux_lettres_clair</vt:lpwstr>
      </vt:variant>
      <vt:variant>
        <vt:lpwstr/>
      </vt:variant>
      <vt:variant>
        <vt:i4>1703963</vt:i4>
      </vt:variant>
      <vt:variant>
        <vt:i4>5625</vt:i4>
      </vt:variant>
      <vt:variant>
        <vt:i4>1027</vt:i4>
      </vt:variant>
      <vt:variant>
        <vt:i4>1</vt:i4>
      </vt:variant>
      <vt:variant>
        <vt:lpwstr>fait_sur_mac</vt:lpwstr>
      </vt:variant>
      <vt:variant>
        <vt:lpwstr/>
      </vt:variant>
      <vt:variant>
        <vt:i4>4915278</vt:i4>
      </vt:variant>
      <vt:variant>
        <vt:i4>5701</vt:i4>
      </vt:variant>
      <vt:variant>
        <vt:i4>1028</vt:i4>
      </vt:variant>
      <vt:variant>
        <vt:i4>1</vt:i4>
      </vt:variant>
      <vt:variant>
        <vt:lpwstr>La_Commission_Keable_L2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“La Commission Keable.”</dc:title>
  <dc:subject/>
  <dc:creator>Louis Gill, économiste, UQAM, 2020</dc:creator>
  <cp:keywords>Courriel: classiques.sc.soc@gmail.com</cp:keywords>
  <dc:description>http://classiques.uqac.ca/</dc:description>
  <cp:lastModifiedBy>Microsoft Office User</cp:lastModifiedBy>
  <cp:revision>2</cp:revision>
  <cp:lastPrinted>2001-08-26T19:33:00Z</cp:lastPrinted>
  <dcterms:created xsi:type="dcterms:W3CDTF">2021-05-11T17:24:00Z</dcterms:created>
  <dcterms:modified xsi:type="dcterms:W3CDTF">2021-05-11T17:24:00Z</dcterms:modified>
  <cp:category>Par Jean-Marie Tremblay, fondateur, 1993</cp:category>
</cp:coreProperties>
</file>