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0407A5" w:rsidRPr="00E07116" w14:paraId="65CAD875" w14:textId="77777777">
        <w:tc>
          <w:tcPr>
            <w:tcW w:w="9160" w:type="dxa"/>
            <w:shd w:val="clear" w:color="auto" w:fill="F0EDD3"/>
          </w:tcPr>
          <w:p w14:paraId="59864241" w14:textId="77777777" w:rsidR="000407A5" w:rsidRPr="00E07116" w:rsidRDefault="000407A5" w:rsidP="000407A5">
            <w:pPr>
              <w:pStyle w:val="En-tte"/>
              <w:tabs>
                <w:tab w:val="clear" w:pos="4320"/>
                <w:tab w:val="clear" w:pos="8640"/>
              </w:tabs>
              <w:rPr>
                <w:rFonts w:ascii="Times New Roman" w:hAnsi="Times New Roman"/>
                <w:sz w:val="28"/>
                <w:lang w:val="en-CA"/>
              </w:rPr>
            </w:pPr>
            <w:bookmarkStart w:id="0" w:name="_GoBack"/>
            <w:bookmarkEnd w:id="0"/>
          </w:p>
          <w:p w14:paraId="0EA8A1F1" w14:textId="77777777" w:rsidR="000407A5" w:rsidRPr="00E07116" w:rsidRDefault="000407A5">
            <w:pPr>
              <w:ind w:firstLine="0"/>
              <w:jc w:val="center"/>
              <w:rPr>
                <w:b/>
              </w:rPr>
            </w:pPr>
          </w:p>
          <w:p w14:paraId="7659445C" w14:textId="77777777" w:rsidR="000407A5" w:rsidRDefault="000407A5" w:rsidP="000407A5">
            <w:pPr>
              <w:ind w:firstLine="0"/>
              <w:jc w:val="center"/>
              <w:rPr>
                <w:b/>
                <w:sz w:val="20"/>
              </w:rPr>
            </w:pPr>
          </w:p>
          <w:p w14:paraId="59A064E6" w14:textId="77777777" w:rsidR="000407A5" w:rsidRDefault="000407A5" w:rsidP="000407A5">
            <w:pPr>
              <w:ind w:firstLine="0"/>
              <w:jc w:val="center"/>
              <w:rPr>
                <w:b/>
                <w:sz w:val="20"/>
              </w:rPr>
            </w:pPr>
          </w:p>
          <w:p w14:paraId="794B9F8C" w14:textId="77777777" w:rsidR="000407A5" w:rsidRDefault="000407A5" w:rsidP="000407A5">
            <w:pPr>
              <w:ind w:firstLine="0"/>
              <w:jc w:val="center"/>
              <w:rPr>
                <w:b/>
                <w:sz w:val="20"/>
              </w:rPr>
            </w:pPr>
          </w:p>
          <w:p w14:paraId="6534AF73" w14:textId="77777777" w:rsidR="000407A5" w:rsidRPr="007150EF" w:rsidRDefault="000407A5" w:rsidP="000407A5">
            <w:pPr>
              <w:ind w:firstLine="0"/>
              <w:jc w:val="center"/>
              <w:rPr>
                <w:sz w:val="36"/>
              </w:rPr>
            </w:pPr>
            <w:r>
              <w:rPr>
                <w:sz w:val="36"/>
              </w:rPr>
              <w:t>Roland PFEFFERKORN</w:t>
            </w:r>
          </w:p>
          <w:p w14:paraId="313BB6B4" w14:textId="77777777" w:rsidR="000407A5" w:rsidRPr="007150EF" w:rsidRDefault="000407A5" w:rsidP="000407A5">
            <w:pPr>
              <w:spacing w:after="120"/>
              <w:ind w:firstLine="0"/>
              <w:jc w:val="center"/>
              <w:rPr>
                <w:sz w:val="20"/>
              </w:rPr>
            </w:pPr>
            <w:r>
              <w:rPr>
                <w:sz w:val="20"/>
              </w:rPr>
              <w:t>Laboratoire “Culture et sociétés en Europe”</w:t>
            </w:r>
            <w:r>
              <w:rPr>
                <w:sz w:val="20"/>
              </w:rPr>
              <w:br/>
              <w:t>(UMR du CNRS NO 7043)</w:t>
            </w:r>
            <w:r>
              <w:rPr>
                <w:sz w:val="20"/>
              </w:rPr>
              <w:br/>
              <w:t>Université Marc Bloch, Strasbourg</w:t>
            </w:r>
          </w:p>
          <w:p w14:paraId="5ADCEEC1" w14:textId="77777777" w:rsidR="000407A5" w:rsidRPr="00AA0F60" w:rsidRDefault="000407A5" w:rsidP="000407A5">
            <w:pPr>
              <w:pStyle w:val="Corpsdetexte"/>
              <w:widowControl w:val="0"/>
              <w:spacing w:before="0" w:after="0"/>
              <w:rPr>
                <w:sz w:val="44"/>
              </w:rPr>
            </w:pPr>
            <w:r w:rsidRPr="00AA0F60">
              <w:rPr>
                <w:sz w:val="44"/>
              </w:rPr>
              <w:t>(</w:t>
            </w:r>
            <w:r>
              <w:rPr>
                <w:sz w:val="44"/>
              </w:rPr>
              <w:t>1994</w:t>
            </w:r>
            <w:r w:rsidRPr="00AA0F60">
              <w:rPr>
                <w:sz w:val="44"/>
              </w:rPr>
              <w:t>)</w:t>
            </w:r>
          </w:p>
          <w:p w14:paraId="68C05A5F" w14:textId="77777777" w:rsidR="000407A5" w:rsidRDefault="000407A5" w:rsidP="000407A5">
            <w:pPr>
              <w:pStyle w:val="Corpsdetexte"/>
              <w:widowControl w:val="0"/>
              <w:spacing w:before="0" w:after="0"/>
              <w:rPr>
                <w:color w:val="FF0000"/>
                <w:sz w:val="24"/>
              </w:rPr>
            </w:pPr>
          </w:p>
          <w:p w14:paraId="3657DCCF" w14:textId="77777777" w:rsidR="000407A5" w:rsidRDefault="000407A5" w:rsidP="000407A5">
            <w:pPr>
              <w:pStyle w:val="Corpsdetexte"/>
              <w:widowControl w:val="0"/>
              <w:spacing w:before="0" w:after="0"/>
              <w:rPr>
                <w:color w:val="FF0000"/>
                <w:sz w:val="24"/>
              </w:rPr>
            </w:pPr>
          </w:p>
          <w:p w14:paraId="63BEB30F" w14:textId="77777777" w:rsidR="000407A5" w:rsidRPr="00630EF3" w:rsidRDefault="000407A5" w:rsidP="000407A5">
            <w:pPr>
              <w:pStyle w:val="Titlest"/>
            </w:pPr>
            <w:r w:rsidRPr="00630EF3">
              <w:t>“</w:t>
            </w:r>
            <w:r>
              <w:t>Figures de l’altérité.</w:t>
            </w:r>
            <w:r>
              <w:br/>
              <w:t>Le fou et l’immigré</w:t>
            </w:r>
            <w:r w:rsidRPr="00630EF3">
              <w:t>.”</w:t>
            </w:r>
          </w:p>
          <w:p w14:paraId="25E839B1" w14:textId="77777777" w:rsidR="000407A5" w:rsidRDefault="000407A5" w:rsidP="000407A5">
            <w:pPr>
              <w:widowControl w:val="0"/>
              <w:ind w:firstLine="0"/>
              <w:jc w:val="center"/>
            </w:pPr>
          </w:p>
          <w:p w14:paraId="58F9FCB6" w14:textId="77777777" w:rsidR="000407A5" w:rsidRPr="006C30E0" w:rsidRDefault="000407A5" w:rsidP="000407A5">
            <w:pPr>
              <w:widowControl w:val="0"/>
              <w:ind w:firstLine="0"/>
              <w:jc w:val="center"/>
              <w:rPr>
                <w:sz w:val="40"/>
              </w:rPr>
            </w:pPr>
          </w:p>
          <w:p w14:paraId="0960C1EA" w14:textId="77777777" w:rsidR="000407A5" w:rsidRDefault="00E26D64" w:rsidP="000407A5">
            <w:pPr>
              <w:widowControl w:val="0"/>
              <w:ind w:firstLine="0"/>
              <w:jc w:val="center"/>
            </w:pPr>
            <w:r>
              <w:rPr>
                <w:noProof/>
              </w:rPr>
              <w:drawing>
                <wp:inline distT="0" distB="0" distL="0" distR="0" wp14:anchorId="5F82B939" wp14:editId="3508AA7B">
                  <wp:extent cx="2222500" cy="546100"/>
                  <wp:effectExtent l="12700" t="1270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22500" cy="546100"/>
                          </a:xfrm>
                          <a:prstGeom prst="rect">
                            <a:avLst/>
                          </a:prstGeom>
                          <a:noFill/>
                          <a:ln w="12700" cmpd="sng">
                            <a:solidFill>
                              <a:srgbClr val="000000"/>
                            </a:solidFill>
                            <a:miter lim="800000"/>
                            <a:headEnd/>
                            <a:tailEnd/>
                          </a:ln>
                          <a:effectLst/>
                        </pic:spPr>
                      </pic:pic>
                    </a:graphicData>
                  </a:graphic>
                </wp:inline>
              </w:drawing>
            </w:r>
          </w:p>
          <w:p w14:paraId="5FFBE1C8" w14:textId="77777777" w:rsidR="000407A5" w:rsidRDefault="000407A5" w:rsidP="000407A5">
            <w:pPr>
              <w:widowControl w:val="0"/>
              <w:ind w:firstLine="0"/>
              <w:jc w:val="center"/>
              <w:rPr>
                <w:sz w:val="20"/>
              </w:rPr>
            </w:pPr>
          </w:p>
          <w:p w14:paraId="5D11A333" w14:textId="77777777" w:rsidR="000407A5" w:rsidRDefault="000407A5">
            <w:pPr>
              <w:widowControl w:val="0"/>
              <w:ind w:firstLine="0"/>
              <w:jc w:val="center"/>
              <w:rPr>
                <w:sz w:val="20"/>
              </w:rPr>
            </w:pPr>
          </w:p>
          <w:p w14:paraId="08AECACD" w14:textId="77777777" w:rsidR="000407A5" w:rsidRPr="00384B20" w:rsidRDefault="000407A5">
            <w:pPr>
              <w:widowControl w:val="0"/>
              <w:ind w:firstLine="0"/>
              <w:jc w:val="center"/>
              <w:rPr>
                <w:sz w:val="20"/>
              </w:rPr>
            </w:pPr>
          </w:p>
          <w:p w14:paraId="34A6C3D6" w14:textId="77777777" w:rsidR="000407A5" w:rsidRPr="00384B20" w:rsidRDefault="000407A5">
            <w:pPr>
              <w:ind w:firstLine="0"/>
              <w:jc w:val="center"/>
              <w:rPr>
                <w:sz w:val="20"/>
              </w:rPr>
            </w:pPr>
            <w:r w:rsidRPr="00083144">
              <w:rPr>
                <w:b/>
              </w:rPr>
              <w:t>LES CLASSIQUES DES SCIENCES SOCIALES</w:t>
            </w:r>
            <w:r>
              <w:br/>
              <w:t>CHICOUTIMI, QUÉBEC</w:t>
            </w:r>
            <w:r>
              <w:br/>
            </w:r>
            <w:hyperlink r:id="rId8" w:history="1">
              <w:r w:rsidRPr="00A433C0">
                <w:rPr>
                  <w:rStyle w:val="Hyperlien"/>
                  <w:lang w:bidi="ar-SA"/>
                </w:rPr>
                <w:t>https://classiques.uqam.ca/</w:t>
              </w:r>
            </w:hyperlink>
            <w:r>
              <w:rPr>
                <w:sz w:val="20"/>
                <w:lang w:bidi="ar-SA"/>
              </w:rPr>
              <w:t xml:space="preserve"> </w:t>
            </w:r>
          </w:p>
          <w:p w14:paraId="7CB3A668" w14:textId="77777777" w:rsidR="000407A5" w:rsidRPr="00E07116" w:rsidRDefault="000407A5">
            <w:pPr>
              <w:widowControl w:val="0"/>
              <w:ind w:firstLine="0"/>
              <w:jc w:val="both"/>
            </w:pPr>
          </w:p>
          <w:p w14:paraId="1303D06E" w14:textId="77777777" w:rsidR="000407A5" w:rsidRPr="00E07116" w:rsidRDefault="000407A5">
            <w:pPr>
              <w:widowControl w:val="0"/>
              <w:ind w:firstLine="0"/>
              <w:jc w:val="both"/>
            </w:pPr>
          </w:p>
          <w:p w14:paraId="145FCE20" w14:textId="77777777" w:rsidR="000407A5" w:rsidRDefault="000407A5">
            <w:pPr>
              <w:widowControl w:val="0"/>
              <w:ind w:firstLine="0"/>
              <w:jc w:val="both"/>
            </w:pPr>
          </w:p>
          <w:p w14:paraId="3A736403" w14:textId="77777777" w:rsidR="000407A5" w:rsidRDefault="000407A5">
            <w:pPr>
              <w:widowControl w:val="0"/>
              <w:ind w:firstLine="0"/>
              <w:jc w:val="both"/>
            </w:pPr>
          </w:p>
          <w:p w14:paraId="77D09E61" w14:textId="77777777" w:rsidR="000407A5" w:rsidRPr="00E07116" w:rsidRDefault="000407A5">
            <w:pPr>
              <w:widowControl w:val="0"/>
              <w:ind w:firstLine="0"/>
              <w:jc w:val="both"/>
            </w:pPr>
          </w:p>
          <w:p w14:paraId="1958E088" w14:textId="77777777" w:rsidR="000407A5" w:rsidRDefault="000407A5">
            <w:pPr>
              <w:widowControl w:val="0"/>
              <w:ind w:firstLine="0"/>
              <w:jc w:val="both"/>
            </w:pPr>
          </w:p>
          <w:p w14:paraId="01AA8D76" w14:textId="77777777" w:rsidR="000407A5" w:rsidRPr="00E07116" w:rsidRDefault="000407A5">
            <w:pPr>
              <w:widowControl w:val="0"/>
              <w:ind w:firstLine="0"/>
              <w:jc w:val="both"/>
            </w:pPr>
          </w:p>
          <w:p w14:paraId="0701A95C" w14:textId="77777777" w:rsidR="000407A5" w:rsidRPr="00E07116" w:rsidRDefault="000407A5">
            <w:pPr>
              <w:ind w:firstLine="0"/>
              <w:jc w:val="both"/>
            </w:pPr>
          </w:p>
        </w:tc>
      </w:tr>
    </w:tbl>
    <w:p w14:paraId="31DEED84" w14:textId="77777777" w:rsidR="000407A5" w:rsidRDefault="000407A5" w:rsidP="000407A5">
      <w:pPr>
        <w:ind w:firstLine="0"/>
        <w:jc w:val="both"/>
      </w:pPr>
      <w:r w:rsidRPr="00E07116">
        <w:br w:type="page"/>
      </w:r>
    </w:p>
    <w:p w14:paraId="504AB685" w14:textId="77777777" w:rsidR="000407A5" w:rsidRDefault="000407A5" w:rsidP="000407A5">
      <w:pPr>
        <w:ind w:firstLine="0"/>
        <w:jc w:val="both"/>
      </w:pPr>
    </w:p>
    <w:p w14:paraId="5D48F6CA" w14:textId="77777777" w:rsidR="000407A5" w:rsidRDefault="000407A5" w:rsidP="000407A5">
      <w:pPr>
        <w:ind w:firstLine="0"/>
        <w:jc w:val="both"/>
      </w:pPr>
    </w:p>
    <w:p w14:paraId="5330817E" w14:textId="77777777" w:rsidR="000407A5" w:rsidRDefault="000407A5" w:rsidP="000407A5">
      <w:pPr>
        <w:ind w:firstLine="0"/>
        <w:jc w:val="both"/>
      </w:pPr>
    </w:p>
    <w:p w14:paraId="06E49E03" w14:textId="77777777" w:rsidR="000407A5" w:rsidRDefault="00E26D64" w:rsidP="000407A5">
      <w:pPr>
        <w:ind w:firstLine="0"/>
        <w:jc w:val="right"/>
      </w:pPr>
      <w:r>
        <w:rPr>
          <w:noProof/>
        </w:rPr>
        <w:drawing>
          <wp:inline distT="0" distB="0" distL="0" distR="0" wp14:anchorId="2881044E" wp14:editId="788EF315">
            <wp:extent cx="2654300" cy="10414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0B8E8766" w14:textId="77777777" w:rsidR="000407A5" w:rsidRDefault="000407A5" w:rsidP="000407A5">
      <w:pPr>
        <w:ind w:firstLine="0"/>
        <w:jc w:val="right"/>
      </w:pPr>
      <w:hyperlink r:id="rId10" w:history="1">
        <w:r w:rsidRPr="00302466">
          <w:rPr>
            <w:rStyle w:val="Hyperlien"/>
          </w:rPr>
          <w:t>http://classiques.uqac.ca/</w:t>
        </w:r>
      </w:hyperlink>
      <w:r>
        <w:t xml:space="preserve"> </w:t>
      </w:r>
    </w:p>
    <w:p w14:paraId="75ED1145" w14:textId="77777777" w:rsidR="000407A5" w:rsidRDefault="000407A5" w:rsidP="000407A5">
      <w:pPr>
        <w:ind w:firstLine="0"/>
        <w:jc w:val="both"/>
      </w:pPr>
    </w:p>
    <w:p w14:paraId="22BC6D45" w14:textId="77777777" w:rsidR="000407A5" w:rsidRDefault="000407A5" w:rsidP="000407A5">
      <w:pPr>
        <w:ind w:firstLine="0"/>
        <w:jc w:val="both"/>
      </w:pPr>
      <w:r w:rsidRPr="00D2666B">
        <w:rPr>
          <w:i/>
        </w:rPr>
        <w:t>Les Classiques des sciences sociales</w:t>
      </w:r>
      <w:r>
        <w:t xml:space="preserve"> est une bibliothèque numérique en libre accès, fondée au Cégep de Chicoutimi en 1993 et développée en coopération avec l’Université du Québec à Chicoutimi (UQÀC) de 2000 à 2024 et avec l’UQAM à partir de juin 2024.</w:t>
      </w:r>
    </w:p>
    <w:p w14:paraId="31B8A471" w14:textId="77777777" w:rsidR="000407A5" w:rsidRDefault="000407A5" w:rsidP="000407A5">
      <w:pPr>
        <w:ind w:firstLine="0"/>
        <w:jc w:val="both"/>
      </w:pPr>
    </w:p>
    <w:p w14:paraId="13895B9E" w14:textId="77777777" w:rsidR="000407A5" w:rsidRDefault="000407A5" w:rsidP="000407A5">
      <w:pPr>
        <w:ind w:firstLine="0"/>
        <w:jc w:val="both"/>
      </w:pPr>
    </w:p>
    <w:tbl>
      <w:tblPr>
        <w:tblW w:w="0" w:type="auto"/>
        <w:tblLook w:val="00BF" w:firstRow="1" w:lastRow="0" w:firstColumn="1" w:lastColumn="0" w:noHBand="0" w:noVBand="0"/>
      </w:tblPr>
      <w:tblGrid>
        <w:gridCol w:w="4006"/>
        <w:gridCol w:w="3914"/>
      </w:tblGrid>
      <w:tr w:rsidR="000407A5" w14:paraId="1048D89C" w14:textId="77777777">
        <w:tc>
          <w:tcPr>
            <w:tcW w:w="4030" w:type="dxa"/>
          </w:tcPr>
          <w:p w14:paraId="178C8AB4" w14:textId="77777777" w:rsidR="000407A5" w:rsidRDefault="00E26D64" w:rsidP="000407A5">
            <w:pPr>
              <w:spacing w:before="120" w:after="120"/>
              <w:ind w:firstLine="0"/>
              <w:jc w:val="both"/>
            </w:pPr>
            <w:r>
              <w:rPr>
                <w:noProof/>
              </w:rPr>
              <w:drawing>
                <wp:inline distT="0" distB="0" distL="0" distR="0" wp14:anchorId="1F106929" wp14:editId="539F1F89">
                  <wp:extent cx="2222500" cy="9017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2500" cy="901700"/>
                          </a:xfrm>
                          <a:prstGeom prst="rect">
                            <a:avLst/>
                          </a:prstGeom>
                          <a:noFill/>
                          <a:ln>
                            <a:noFill/>
                          </a:ln>
                        </pic:spPr>
                      </pic:pic>
                    </a:graphicData>
                  </a:graphic>
                </wp:inline>
              </w:drawing>
            </w:r>
          </w:p>
        </w:tc>
        <w:tc>
          <w:tcPr>
            <w:tcW w:w="4030" w:type="dxa"/>
          </w:tcPr>
          <w:p w14:paraId="05B1C7C1" w14:textId="77777777" w:rsidR="000407A5" w:rsidRDefault="00E26D64" w:rsidP="000407A5">
            <w:pPr>
              <w:spacing w:before="120" w:after="120"/>
              <w:ind w:firstLine="0"/>
              <w:jc w:val="both"/>
            </w:pPr>
            <w:r>
              <w:rPr>
                <w:noProof/>
              </w:rPr>
              <w:drawing>
                <wp:inline distT="0" distB="0" distL="0" distR="0" wp14:anchorId="1A89BC37" wp14:editId="31063D9B">
                  <wp:extent cx="1447800" cy="5842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7800" cy="584200"/>
                          </a:xfrm>
                          <a:prstGeom prst="rect">
                            <a:avLst/>
                          </a:prstGeom>
                          <a:noFill/>
                          <a:ln>
                            <a:noFill/>
                          </a:ln>
                        </pic:spPr>
                      </pic:pic>
                    </a:graphicData>
                  </a:graphic>
                </wp:inline>
              </w:drawing>
            </w:r>
          </w:p>
        </w:tc>
      </w:tr>
      <w:tr w:rsidR="000407A5" w:rsidRPr="00B67BF4" w14:paraId="75C997E2" w14:textId="77777777">
        <w:tc>
          <w:tcPr>
            <w:tcW w:w="4030" w:type="dxa"/>
          </w:tcPr>
          <w:p w14:paraId="55AA9391" w14:textId="77777777" w:rsidR="000407A5" w:rsidRPr="00B67BF4" w:rsidRDefault="000407A5" w:rsidP="000407A5">
            <w:pPr>
              <w:spacing w:before="120" w:after="120"/>
              <w:ind w:firstLine="0"/>
              <w:jc w:val="both"/>
              <w:rPr>
                <w:sz w:val="24"/>
              </w:rPr>
            </w:pPr>
            <w:hyperlink r:id="rId13" w:history="1">
              <w:r w:rsidRPr="00B67BF4">
                <w:rPr>
                  <w:rStyle w:val="Hyperlien"/>
                  <w:sz w:val="24"/>
                </w:rPr>
                <w:t>http://bibliotheque.uqac.ca/</w:t>
              </w:r>
            </w:hyperlink>
            <w:r w:rsidRPr="00B67BF4">
              <w:rPr>
                <w:sz w:val="24"/>
              </w:rPr>
              <w:t xml:space="preserve"> </w:t>
            </w:r>
          </w:p>
        </w:tc>
        <w:tc>
          <w:tcPr>
            <w:tcW w:w="4030" w:type="dxa"/>
          </w:tcPr>
          <w:p w14:paraId="0BEBF2AD" w14:textId="77777777" w:rsidR="000407A5" w:rsidRPr="00B67BF4" w:rsidRDefault="000407A5" w:rsidP="000407A5">
            <w:pPr>
              <w:spacing w:before="120" w:after="120"/>
              <w:ind w:firstLine="0"/>
              <w:jc w:val="both"/>
              <w:rPr>
                <w:sz w:val="24"/>
              </w:rPr>
            </w:pPr>
            <w:hyperlink r:id="rId14" w:history="1">
              <w:r w:rsidRPr="00B67BF4">
                <w:rPr>
                  <w:rStyle w:val="Hyperlien"/>
                  <w:sz w:val="24"/>
                </w:rPr>
                <w:t>https://uqam.ca/</w:t>
              </w:r>
            </w:hyperlink>
            <w:r w:rsidRPr="00B67BF4">
              <w:rPr>
                <w:sz w:val="24"/>
              </w:rPr>
              <w:t xml:space="preserve"> </w:t>
            </w:r>
          </w:p>
        </w:tc>
      </w:tr>
    </w:tbl>
    <w:p w14:paraId="51D4AC6A" w14:textId="77777777" w:rsidR="000407A5" w:rsidRDefault="000407A5" w:rsidP="000407A5">
      <w:pPr>
        <w:ind w:firstLine="0"/>
        <w:jc w:val="both"/>
      </w:pPr>
    </w:p>
    <w:p w14:paraId="66E74D53" w14:textId="77777777" w:rsidR="000407A5" w:rsidRDefault="000407A5" w:rsidP="000407A5">
      <w:pPr>
        <w:ind w:firstLine="0"/>
        <w:jc w:val="both"/>
      </w:pPr>
    </w:p>
    <w:p w14:paraId="528E5BCB" w14:textId="77777777" w:rsidR="000407A5" w:rsidRDefault="000407A5" w:rsidP="000407A5">
      <w:pPr>
        <w:ind w:firstLine="0"/>
        <w:jc w:val="both"/>
      </w:pPr>
      <w:r>
        <w:t>L’UQÀM assure à partir du mois de septembre 2024 la pérennité des Classiques des scie</w:t>
      </w:r>
      <w:r>
        <w:t>n</w:t>
      </w:r>
      <w:r>
        <w:t>ces sociales et son développement futur, bien sûr avec les bén</w:t>
      </w:r>
      <w:r>
        <w:t>é</w:t>
      </w:r>
      <w:r>
        <w:t>voles des Classiques des sciences sociales.</w:t>
      </w:r>
    </w:p>
    <w:p w14:paraId="3A645124" w14:textId="77777777" w:rsidR="000407A5" w:rsidRDefault="000407A5" w:rsidP="000407A5">
      <w:pPr>
        <w:ind w:firstLine="0"/>
        <w:jc w:val="both"/>
      </w:pPr>
    </w:p>
    <w:p w14:paraId="3589961D" w14:textId="77777777" w:rsidR="000407A5" w:rsidRDefault="000407A5" w:rsidP="000407A5">
      <w:pPr>
        <w:ind w:firstLine="0"/>
        <w:jc w:val="both"/>
      </w:pPr>
    </w:p>
    <w:p w14:paraId="7A50ADAC" w14:textId="77777777" w:rsidR="000407A5" w:rsidRDefault="000407A5" w:rsidP="000407A5">
      <w:pPr>
        <w:ind w:firstLine="0"/>
        <w:jc w:val="both"/>
      </w:pPr>
      <w:r>
        <w:t>En 2023, Les Classiques des sciences sociales fêtaient leur 30</w:t>
      </w:r>
      <w:r w:rsidRPr="00622FDA">
        <w:rPr>
          <w:vertAlign w:val="superscript"/>
        </w:rPr>
        <w:t>e</w:t>
      </w:r>
      <w:r>
        <w:t xml:space="preserve"> ann</w:t>
      </w:r>
      <w:r>
        <w:t>i</w:t>
      </w:r>
      <w:r>
        <w:t>versa</w:t>
      </w:r>
      <w:r>
        <w:t>i</w:t>
      </w:r>
      <w:r>
        <w:t>re de fondation. Une belle initiative citoyenne.</w:t>
      </w:r>
    </w:p>
    <w:p w14:paraId="0423A935" w14:textId="77777777" w:rsidR="000407A5" w:rsidRPr="00E07116" w:rsidRDefault="000407A5" w:rsidP="000407A5">
      <w:pPr>
        <w:ind w:firstLine="0"/>
        <w:jc w:val="both"/>
        <w:rPr>
          <w:szCs w:val="32"/>
        </w:rPr>
      </w:pPr>
      <w:r w:rsidRPr="00E07116">
        <w:br w:type="page"/>
      </w:r>
    </w:p>
    <w:p w14:paraId="671F0455" w14:textId="77777777" w:rsidR="000407A5" w:rsidRPr="00431906" w:rsidRDefault="000407A5">
      <w:pPr>
        <w:widowControl w:val="0"/>
        <w:autoSpaceDE w:val="0"/>
        <w:autoSpaceDN w:val="0"/>
        <w:adjustRightInd w:val="0"/>
        <w:jc w:val="center"/>
        <w:rPr>
          <w:color w:val="008B00"/>
          <w:sz w:val="44"/>
          <w:szCs w:val="36"/>
        </w:rPr>
      </w:pPr>
      <w:r w:rsidRPr="00431906">
        <w:rPr>
          <w:color w:val="008B00"/>
          <w:sz w:val="44"/>
          <w:szCs w:val="36"/>
        </w:rPr>
        <w:t>Politique d'utilisation</w:t>
      </w:r>
      <w:r w:rsidRPr="00431906">
        <w:rPr>
          <w:color w:val="008B00"/>
          <w:sz w:val="44"/>
          <w:szCs w:val="36"/>
        </w:rPr>
        <w:br/>
        <w:t>de la bibliothèque des Classiques</w:t>
      </w:r>
    </w:p>
    <w:p w14:paraId="2BF625EB" w14:textId="77777777" w:rsidR="000407A5" w:rsidRPr="00E07116" w:rsidRDefault="000407A5">
      <w:pPr>
        <w:widowControl w:val="0"/>
        <w:autoSpaceDE w:val="0"/>
        <w:autoSpaceDN w:val="0"/>
        <w:adjustRightInd w:val="0"/>
        <w:rPr>
          <w:szCs w:val="32"/>
        </w:rPr>
      </w:pPr>
    </w:p>
    <w:p w14:paraId="1D197793" w14:textId="77777777" w:rsidR="000407A5" w:rsidRPr="00E07116" w:rsidRDefault="000407A5">
      <w:pPr>
        <w:widowControl w:val="0"/>
        <w:autoSpaceDE w:val="0"/>
        <w:autoSpaceDN w:val="0"/>
        <w:adjustRightInd w:val="0"/>
        <w:jc w:val="both"/>
        <w:rPr>
          <w:color w:val="1C1C1C"/>
          <w:szCs w:val="26"/>
        </w:rPr>
      </w:pPr>
    </w:p>
    <w:p w14:paraId="750CF5A6" w14:textId="77777777" w:rsidR="000407A5" w:rsidRPr="00E07116" w:rsidRDefault="000407A5">
      <w:pPr>
        <w:widowControl w:val="0"/>
        <w:autoSpaceDE w:val="0"/>
        <w:autoSpaceDN w:val="0"/>
        <w:adjustRightInd w:val="0"/>
        <w:jc w:val="both"/>
        <w:rPr>
          <w:color w:val="1C1C1C"/>
          <w:szCs w:val="26"/>
        </w:rPr>
      </w:pPr>
    </w:p>
    <w:p w14:paraId="0D38EACD" w14:textId="77777777" w:rsidR="000407A5" w:rsidRPr="00E07116" w:rsidRDefault="000407A5">
      <w:pPr>
        <w:widowControl w:val="0"/>
        <w:autoSpaceDE w:val="0"/>
        <w:autoSpaceDN w:val="0"/>
        <w:adjustRightInd w:val="0"/>
        <w:jc w:val="both"/>
        <w:rPr>
          <w:color w:val="1C1C1C"/>
          <w:szCs w:val="26"/>
        </w:rPr>
      </w:pPr>
      <w:r w:rsidRPr="00E07116">
        <w:rPr>
          <w:color w:val="1C1C1C"/>
          <w:szCs w:val="26"/>
        </w:rPr>
        <w:t>Toute reproduction et rediffusion de nos fichiers est interdite, m</w:t>
      </w:r>
      <w:r w:rsidRPr="00E07116">
        <w:rPr>
          <w:color w:val="1C1C1C"/>
          <w:szCs w:val="26"/>
        </w:rPr>
        <w:t>ê</w:t>
      </w:r>
      <w:r w:rsidRPr="00E07116">
        <w:rPr>
          <w:color w:val="1C1C1C"/>
          <w:szCs w:val="26"/>
        </w:rPr>
        <w:t>me avec la mention de leur provenance, sans l’autorisation formelle, écrite, du fondateur des Classiques des sciences sociales, Jean-Marie Tremblay, sociologue.</w:t>
      </w:r>
    </w:p>
    <w:p w14:paraId="5B9479F0" w14:textId="77777777" w:rsidR="000407A5" w:rsidRPr="00E07116" w:rsidRDefault="000407A5">
      <w:pPr>
        <w:widowControl w:val="0"/>
        <w:autoSpaceDE w:val="0"/>
        <w:autoSpaceDN w:val="0"/>
        <w:adjustRightInd w:val="0"/>
        <w:jc w:val="both"/>
        <w:rPr>
          <w:color w:val="1C1C1C"/>
          <w:szCs w:val="26"/>
        </w:rPr>
      </w:pPr>
    </w:p>
    <w:p w14:paraId="6A16C041" w14:textId="77777777" w:rsidR="000407A5" w:rsidRPr="00E07116" w:rsidRDefault="000407A5" w:rsidP="000407A5">
      <w:pPr>
        <w:widowControl w:val="0"/>
        <w:autoSpaceDE w:val="0"/>
        <w:autoSpaceDN w:val="0"/>
        <w:adjustRightInd w:val="0"/>
        <w:jc w:val="both"/>
        <w:rPr>
          <w:color w:val="1C1C1C"/>
          <w:szCs w:val="26"/>
        </w:rPr>
      </w:pPr>
      <w:r w:rsidRPr="00E07116">
        <w:rPr>
          <w:color w:val="1C1C1C"/>
          <w:szCs w:val="26"/>
        </w:rPr>
        <w:t>Les fichiers des Classiques des sciences sociales ne peuvent sans autorisation formelle:</w:t>
      </w:r>
    </w:p>
    <w:p w14:paraId="05DA762D" w14:textId="77777777" w:rsidR="000407A5" w:rsidRPr="00E07116" w:rsidRDefault="000407A5" w:rsidP="000407A5">
      <w:pPr>
        <w:widowControl w:val="0"/>
        <w:autoSpaceDE w:val="0"/>
        <w:autoSpaceDN w:val="0"/>
        <w:adjustRightInd w:val="0"/>
        <w:jc w:val="both"/>
        <w:rPr>
          <w:color w:val="1C1C1C"/>
          <w:szCs w:val="26"/>
        </w:rPr>
      </w:pPr>
    </w:p>
    <w:p w14:paraId="28F459CA" w14:textId="77777777" w:rsidR="000407A5" w:rsidRPr="00E07116" w:rsidRDefault="000407A5" w:rsidP="000407A5">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14:paraId="41257220" w14:textId="77777777" w:rsidR="000407A5" w:rsidRPr="00E07116" w:rsidRDefault="000407A5" w:rsidP="000407A5">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14:paraId="54980400" w14:textId="77777777" w:rsidR="000407A5" w:rsidRPr="00E07116" w:rsidRDefault="000407A5" w:rsidP="000407A5">
      <w:pPr>
        <w:widowControl w:val="0"/>
        <w:autoSpaceDE w:val="0"/>
        <w:autoSpaceDN w:val="0"/>
        <w:adjustRightInd w:val="0"/>
        <w:jc w:val="both"/>
        <w:rPr>
          <w:color w:val="1C1C1C"/>
          <w:szCs w:val="26"/>
        </w:rPr>
      </w:pPr>
    </w:p>
    <w:p w14:paraId="66DE4DB0" w14:textId="77777777" w:rsidR="000407A5" w:rsidRPr="00E07116" w:rsidRDefault="000407A5">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Classiques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14:paraId="79574308" w14:textId="77777777" w:rsidR="000407A5" w:rsidRPr="00E07116" w:rsidRDefault="000407A5">
      <w:pPr>
        <w:widowControl w:val="0"/>
        <w:autoSpaceDE w:val="0"/>
        <w:autoSpaceDN w:val="0"/>
        <w:adjustRightInd w:val="0"/>
        <w:jc w:val="both"/>
        <w:rPr>
          <w:color w:val="1C1C1C"/>
          <w:szCs w:val="26"/>
        </w:rPr>
      </w:pPr>
    </w:p>
    <w:p w14:paraId="23B391E7" w14:textId="77777777" w:rsidR="000407A5" w:rsidRPr="00E07116" w:rsidRDefault="000407A5">
      <w:pPr>
        <w:rPr>
          <w:color w:val="1C1C1C"/>
          <w:szCs w:val="26"/>
        </w:rPr>
      </w:pPr>
      <w:r w:rsidRPr="00E07116">
        <w:rPr>
          <w:color w:val="1C1C1C"/>
          <w:szCs w:val="26"/>
        </w:rPr>
        <w:t>Ils sont disponibles pour une utilisation intellectuelle et personnelle et, en aucun cas, commerciale. Toute utilisation à des fins commerci</w:t>
      </w:r>
      <w:r w:rsidRPr="00E07116">
        <w:rPr>
          <w:color w:val="1C1C1C"/>
          <w:szCs w:val="26"/>
        </w:rPr>
        <w:t>a</w:t>
      </w:r>
      <w:r w:rsidRPr="00E07116">
        <w:rPr>
          <w:color w:val="1C1C1C"/>
          <w:szCs w:val="26"/>
        </w:rPr>
        <w:t>les des fichiers sur ce site est strictement interdite et toute rediffusion est également strictement interdite.</w:t>
      </w:r>
    </w:p>
    <w:p w14:paraId="3AF11878" w14:textId="77777777" w:rsidR="000407A5" w:rsidRPr="00E07116" w:rsidRDefault="000407A5">
      <w:pPr>
        <w:rPr>
          <w:b/>
          <w:color w:val="1C1C1C"/>
          <w:szCs w:val="26"/>
        </w:rPr>
      </w:pPr>
    </w:p>
    <w:p w14:paraId="4E448D5B" w14:textId="77777777" w:rsidR="000407A5" w:rsidRPr="00E07116" w:rsidRDefault="000407A5">
      <w:pPr>
        <w:rPr>
          <w:b/>
          <w:color w:val="1C1C1C"/>
          <w:szCs w:val="26"/>
        </w:rPr>
      </w:pPr>
      <w:r w:rsidRPr="00E07116">
        <w:rPr>
          <w:b/>
          <w:color w:val="1C1C1C"/>
          <w:szCs w:val="26"/>
        </w:rPr>
        <w:t>L'accès à notre travail est libre et gratuit à tous les utilisateurs. C'est notre mission.</w:t>
      </w:r>
    </w:p>
    <w:p w14:paraId="36EFCD20" w14:textId="77777777" w:rsidR="000407A5" w:rsidRPr="00E07116" w:rsidRDefault="000407A5">
      <w:pPr>
        <w:rPr>
          <w:b/>
          <w:color w:val="1C1C1C"/>
          <w:szCs w:val="26"/>
        </w:rPr>
      </w:pPr>
    </w:p>
    <w:p w14:paraId="289D2223" w14:textId="77777777" w:rsidR="000407A5" w:rsidRPr="00E07116" w:rsidRDefault="000407A5">
      <w:pPr>
        <w:rPr>
          <w:color w:val="1C1C1C"/>
          <w:szCs w:val="26"/>
        </w:rPr>
      </w:pPr>
      <w:r w:rsidRPr="00E07116">
        <w:rPr>
          <w:color w:val="1C1C1C"/>
          <w:szCs w:val="26"/>
        </w:rPr>
        <w:t>Jean-Marie Tremblay, sociologue</w:t>
      </w:r>
    </w:p>
    <w:p w14:paraId="2F336691" w14:textId="77777777" w:rsidR="000407A5" w:rsidRPr="00E07116" w:rsidRDefault="000407A5">
      <w:pPr>
        <w:rPr>
          <w:color w:val="1C1C1C"/>
          <w:szCs w:val="26"/>
        </w:rPr>
      </w:pPr>
      <w:r w:rsidRPr="00E07116">
        <w:rPr>
          <w:color w:val="1C1C1C"/>
          <w:szCs w:val="26"/>
        </w:rPr>
        <w:t>Fondateur et Président-directeur général,</w:t>
      </w:r>
    </w:p>
    <w:p w14:paraId="61F297F3" w14:textId="77777777" w:rsidR="000407A5" w:rsidRPr="00E07116" w:rsidRDefault="000407A5">
      <w:pPr>
        <w:rPr>
          <w:color w:val="000080"/>
        </w:rPr>
      </w:pPr>
      <w:r w:rsidRPr="00E07116">
        <w:rPr>
          <w:color w:val="000080"/>
          <w:szCs w:val="26"/>
        </w:rPr>
        <w:t>LES CLASSIQUES DES SCIENCES SOCIALES.</w:t>
      </w:r>
    </w:p>
    <w:p w14:paraId="32BC25DC" w14:textId="77777777" w:rsidR="000407A5" w:rsidRPr="00CF4C8E" w:rsidRDefault="000407A5" w:rsidP="000407A5">
      <w:pPr>
        <w:ind w:firstLine="0"/>
        <w:jc w:val="both"/>
        <w:rPr>
          <w:sz w:val="24"/>
          <w:lang w:bidi="ar-SA"/>
        </w:rPr>
      </w:pPr>
      <w:r>
        <w:br w:type="page"/>
      </w:r>
      <w:r w:rsidRPr="00CF4C8E">
        <w:rPr>
          <w:sz w:val="24"/>
          <w:lang w:bidi="ar-SA"/>
        </w:rPr>
        <w:t>Un document produit en version numérique par Jean-Marie Tremblay, bénévole, professeur associé, Université du Québec à Chicoutimi</w:t>
      </w:r>
    </w:p>
    <w:p w14:paraId="770547EE" w14:textId="77777777" w:rsidR="000407A5" w:rsidRPr="00CF4C8E" w:rsidRDefault="000407A5" w:rsidP="000407A5">
      <w:pPr>
        <w:ind w:firstLine="0"/>
        <w:jc w:val="both"/>
        <w:rPr>
          <w:sz w:val="24"/>
          <w:lang w:bidi="ar-SA"/>
        </w:rPr>
      </w:pPr>
      <w:r w:rsidRPr="00CF4C8E">
        <w:rPr>
          <w:sz w:val="24"/>
          <w:lang w:bidi="ar-SA"/>
        </w:rPr>
        <w:t xml:space="preserve">Courriel: </w:t>
      </w:r>
      <w:hyperlink r:id="rId15" w:history="1">
        <w:r w:rsidRPr="000C0AE1">
          <w:rPr>
            <w:rStyle w:val="Hyperlien"/>
            <w:sz w:val="24"/>
            <w:lang w:bidi="ar-SA"/>
          </w:rPr>
          <w:t>classiques.sc.soc@gmail.com</w:t>
        </w:r>
      </w:hyperlink>
      <w:r>
        <w:rPr>
          <w:sz w:val="24"/>
          <w:lang w:bidi="ar-SA"/>
        </w:rPr>
        <w:t xml:space="preserve"> </w:t>
      </w:r>
      <w:r w:rsidRPr="00CF4C8E">
        <w:rPr>
          <w:sz w:val="24"/>
          <w:lang w:bidi="ar-SA"/>
        </w:rPr>
        <w:t xml:space="preserve"> </w:t>
      </w:r>
    </w:p>
    <w:p w14:paraId="20A55B97" w14:textId="77777777" w:rsidR="000407A5" w:rsidRPr="00CF4C8E" w:rsidRDefault="000407A5" w:rsidP="000407A5">
      <w:pPr>
        <w:ind w:left="20" w:hanging="20"/>
        <w:jc w:val="both"/>
        <w:rPr>
          <w:sz w:val="24"/>
        </w:rPr>
      </w:pPr>
      <w:r w:rsidRPr="00CF4C8E">
        <w:rPr>
          <w:sz w:val="24"/>
          <w:lang w:bidi="ar-SA"/>
        </w:rPr>
        <w:t xml:space="preserve">Site web pédagogique : </w:t>
      </w:r>
      <w:hyperlink r:id="rId16" w:history="1">
        <w:r w:rsidRPr="00CF4C8E">
          <w:rPr>
            <w:rStyle w:val="Hyperlien"/>
            <w:sz w:val="24"/>
            <w:lang w:bidi="ar-SA"/>
          </w:rPr>
          <w:t>http://jmt-sociologue.uqac.ca/</w:t>
        </w:r>
      </w:hyperlink>
    </w:p>
    <w:p w14:paraId="02B77984" w14:textId="77777777" w:rsidR="000407A5" w:rsidRDefault="000407A5" w:rsidP="000407A5">
      <w:pPr>
        <w:ind w:firstLine="0"/>
        <w:rPr>
          <w:sz w:val="24"/>
        </w:rPr>
      </w:pPr>
    </w:p>
    <w:p w14:paraId="53BD5F45" w14:textId="77777777" w:rsidR="000407A5" w:rsidRPr="00CF4C8E" w:rsidRDefault="000407A5" w:rsidP="000407A5">
      <w:pPr>
        <w:ind w:firstLine="0"/>
        <w:jc w:val="both"/>
        <w:rPr>
          <w:sz w:val="24"/>
        </w:rPr>
      </w:pPr>
      <w:r w:rsidRPr="00CF4C8E">
        <w:rPr>
          <w:sz w:val="24"/>
        </w:rPr>
        <w:t>à partir du texte de :</w:t>
      </w:r>
    </w:p>
    <w:p w14:paraId="22FCBB41" w14:textId="77777777" w:rsidR="000407A5" w:rsidRDefault="000407A5" w:rsidP="000407A5">
      <w:pPr>
        <w:ind w:firstLine="0"/>
        <w:rPr>
          <w:sz w:val="24"/>
        </w:rPr>
      </w:pPr>
    </w:p>
    <w:p w14:paraId="54A86748" w14:textId="77777777" w:rsidR="000407A5" w:rsidRPr="0012782F" w:rsidRDefault="000407A5" w:rsidP="000407A5">
      <w:pPr>
        <w:ind w:right="720" w:firstLine="0"/>
      </w:pPr>
      <w:r>
        <w:t>Roland PFEFFERKORN</w:t>
      </w:r>
    </w:p>
    <w:p w14:paraId="5B8F179C" w14:textId="77777777" w:rsidR="000407A5" w:rsidRDefault="000407A5" w:rsidP="000407A5">
      <w:pPr>
        <w:ind w:right="720" w:firstLine="0"/>
        <w:rPr>
          <w:sz w:val="24"/>
        </w:rPr>
      </w:pPr>
    </w:p>
    <w:p w14:paraId="1B89AF70" w14:textId="77777777" w:rsidR="000407A5" w:rsidRPr="007150EF" w:rsidRDefault="000407A5" w:rsidP="000407A5">
      <w:pPr>
        <w:ind w:firstLine="0"/>
        <w:rPr>
          <w:b/>
          <w:i/>
        </w:rPr>
      </w:pPr>
      <w:r>
        <w:rPr>
          <w:b/>
          <w:i/>
        </w:rPr>
        <w:t>“Figures de l’altérité. Le fou et l’immigré.”</w:t>
      </w:r>
    </w:p>
    <w:p w14:paraId="0C1C2785" w14:textId="77777777" w:rsidR="000407A5" w:rsidRPr="0058603D" w:rsidRDefault="000407A5" w:rsidP="000407A5">
      <w:pPr>
        <w:ind w:right="720" w:firstLine="0"/>
        <w:rPr>
          <w:sz w:val="24"/>
        </w:rPr>
      </w:pPr>
    </w:p>
    <w:p w14:paraId="2F24C5E6" w14:textId="77777777" w:rsidR="000407A5" w:rsidRPr="00113C0E" w:rsidRDefault="000407A5" w:rsidP="000407A5">
      <w:pPr>
        <w:ind w:left="20" w:hanging="20"/>
        <w:jc w:val="both"/>
        <w:rPr>
          <w:sz w:val="24"/>
        </w:rPr>
      </w:pPr>
      <w:r>
        <w:t xml:space="preserve">In </w:t>
      </w:r>
      <w:r>
        <w:rPr>
          <w:b/>
          <w:i/>
          <w:color w:val="FF0000"/>
        </w:rPr>
        <w:t>Revue des sciences sociales de la France de l’Est</w:t>
      </w:r>
      <w:r>
        <w:t xml:space="preserve">, no 21, 1994, pp. 154-161. </w:t>
      </w:r>
      <w:hyperlink r:id="rId17" w:history="1">
        <w:r w:rsidRPr="00113C0E">
          <w:rPr>
            <w:rStyle w:val="Hyperlien"/>
            <w:i/>
            <w:iCs/>
            <w:sz w:val="24"/>
          </w:rPr>
          <w:t>https://www.persee.fr/doc/revss_0336-1578_1994_num_21_1_3052</w:t>
        </w:r>
      </w:hyperlink>
      <w:r w:rsidRPr="00113C0E">
        <w:rPr>
          <w:i/>
          <w:iCs/>
          <w:sz w:val="24"/>
        </w:rPr>
        <w:t xml:space="preserve"> </w:t>
      </w:r>
    </w:p>
    <w:p w14:paraId="30C8E551" w14:textId="77777777" w:rsidR="000407A5" w:rsidRDefault="000407A5" w:rsidP="000407A5">
      <w:pPr>
        <w:jc w:val="both"/>
        <w:rPr>
          <w:sz w:val="24"/>
        </w:rPr>
      </w:pPr>
    </w:p>
    <w:p w14:paraId="26122952" w14:textId="77777777" w:rsidR="000407A5" w:rsidRDefault="00E26D64" w:rsidP="000407A5">
      <w:pPr>
        <w:jc w:val="both"/>
      </w:pPr>
      <w:r>
        <w:rPr>
          <w:noProof/>
        </w:rPr>
        <w:drawing>
          <wp:inline distT="0" distB="0" distL="0" distR="0" wp14:anchorId="577642EA" wp14:editId="6EF20284">
            <wp:extent cx="2222500" cy="546100"/>
            <wp:effectExtent l="12700" t="1270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22500" cy="546100"/>
                    </a:xfrm>
                    <a:prstGeom prst="rect">
                      <a:avLst/>
                    </a:prstGeom>
                    <a:noFill/>
                    <a:ln w="12700" cmpd="sng">
                      <a:solidFill>
                        <a:srgbClr val="000000"/>
                      </a:solidFill>
                      <a:miter lim="800000"/>
                      <a:headEnd/>
                      <a:tailEnd/>
                    </a:ln>
                    <a:effectLst/>
                  </pic:spPr>
                </pic:pic>
              </a:graphicData>
            </a:graphic>
          </wp:inline>
        </w:drawing>
      </w:r>
    </w:p>
    <w:p w14:paraId="21C800EA" w14:textId="77777777" w:rsidR="000407A5" w:rsidRPr="00384B20" w:rsidRDefault="000407A5" w:rsidP="000407A5">
      <w:pPr>
        <w:jc w:val="both"/>
        <w:rPr>
          <w:sz w:val="24"/>
        </w:rPr>
      </w:pPr>
    </w:p>
    <w:p w14:paraId="10D7C77C" w14:textId="77777777" w:rsidR="000407A5" w:rsidRPr="00384B20" w:rsidRDefault="000407A5" w:rsidP="000407A5">
      <w:pPr>
        <w:ind w:left="20"/>
        <w:jc w:val="both"/>
        <w:rPr>
          <w:sz w:val="24"/>
        </w:rPr>
      </w:pPr>
      <w:r>
        <w:rPr>
          <w:sz w:val="24"/>
        </w:rPr>
        <w:t>Roland Pfefferkorn nous a accordé, le 5 janvier 2017, son autorisation pour la diffusion en libre accès à tous de tous ses articles dans Les Classiques des scie</w:t>
      </w:r>
      <w:r>
        <w:rPr>
          <w:sz w:val="24"/>
        </w:rPr>
        <w:t>n</w:t>
      </w:r>
      <w:r>
        <w:rPr>
          <w:sz w:val="24"/>
        </w:rPr>
        <w:t>ces soci</w:t>
      </w:r>
      <w:r>
        <w:rPr>
          <w:sz w:val="24"/>
        </w:rPr>
        <w:t>a</w:t>
      </w:r>
      <w:r>
        <w:rPr>
          <w:sz w:val="24"/>
        </w:rPr>
        <w:t>les.</w:t>
      </w:r>
    </w:p>
    <w:p w14:paraId="410C958C" w14:textId="77777777" w:rsidR="000407A5" w:rsidRPr="00384B20" w:rsidRDefault="000407A5" w:rsidP="000407A5">
      <w:pPr>
        <w:jc w:val="both"/>
        <w:rPr>
          <w:sz w:val="24"/>
        </w:rPr>
      </w:pPr>
    </w:p>
    <w:p w14:paraId="1AD1E9DD" w14:textId="77777777" w:rsidR="000407A5" w:rsidRDefault="00E26D64" w:rsidP="000407A5">
      <w:pPr>
        <w:tabs>
          <w:tab w:val="left" w:pos="3150"/>
        </w:tabs>
        <w:ind w:firstLine="0"/>
        <w:rPr>
          <w:sz w:val="24"/>
        </w:rPr>
      </w:pPr>
      <w:r w:rsidRPr="00195690">
        <w:rPr>
          <w:noProof/>
          <w:sz w:val="24"/>
          <w:lang w:val="fr-FR" w:eastAsia="fr-FR"/>
        </w:rPr>
        <w:drawing>
          <wp:inline distT="0" distB="0" distL="0" distR="0" wp14:anchorId="5557774A" wp14:editId="17883D1C">
            <wp:extent cx="254000" cy="254000"/>
            <wp:effectExtent l="0" t="0" r="0" b="0"/>
            <wp:docPr id="6"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 descr="Boite_aux_lettres_clair"/>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0407A5" w:rsidRPr="00384B20">
        <w:rPr>
          <w:sz w:val="24"/>
        </w:rPr>
        <w:t xml:space="preserve"> Courriels : </w:t>
      </w:r>
      <w:r w:rsidR="000407A5" w:rsidRPr="00ED50F9">
        <w:rPr>
          <w:sz w:val="24"/>
        </w:rPr>
        <w:t xml:space="preserve">Roland PFEFFERKORN: </w:t>
      </w:r>
      <w:hyperlink r:id="rId19" w:history="1">
        <w:r w:rsidR="000407A5" w:rsidRPr="00C36275">
          <w:rPr>
            <w:rStyle w:val="Hyperlien"/>
            <w:sz w:val="24"/>
          </w:rPr>
          <w:t>pfefferkroland@aol.com</w:t>
        </w:r>
      </w:hyperlink>
      <w:r w:rsidR="000407A5">
        <w:rPr>
          <w:sz w:val="24"/>
        </w:rPr>
        <w:t xml:space="preserve"> </w:t>
      </w:r>
      <w:r w:rsidR="000407A5" w:rsidRPr="00ED50F9">
        <w:rPr>
          <w:sz w:val="24"/>
        </w:rPr>
        <w:t xml:space="preserve"> ou </w:t>
      </w:r>
      <w:hyperlink r:id="rId20" w:history="1">
        <w:r w:rsidR="000407A5" w:rsidRPr="00C36275">
          <w:rPr>
            <w:rStyle w:val="Hyperlien"/>
            <w:sz w:val="24"/>
          </w:rPr>
          <w:t>Roland.Pfefferkorn@unistra.fr</w:t>
        </w:r>
      </w:hyperlink>
      <w:r w:rsidR="000407A5" w:rsidRPr="00ED50F9">
        <w:rPr>
          <w:sz w:val="24"/>
        </w:rPr>
        <w:t>.</w:t>
      </w:r>
      <w:r w:rsidR="000407A5">
        <w:rPr>
          <w:sz w:val="24"/>
        </w:rPr>
        <w:t xml:space="preserve"> </w:t>
      </w:r>
    </w:p>
    <w:p w14:paraId="02057A23" w14:textId="77777777" w:rsidR="000407A5" w:rsidRDefault="000407A5" w:rsidP="000407A5">
      <w:pPr>
        <w:ind w:left="20"/>
        <w:jc w:val="both"/>
        <w:rPr>
          <w:sz w:val="24"/>
        </w:rPr>
      </w:pPr>
    </w:p>
    <w:p w14:paraId="272B42B2" w14:textId="77777777" w:rsidR="000407A5" w:rsidRPr="00384B20" w:rsidRDefault="000407A5" w:rsidP="000407A5">
      <w:pPr>
        <w:ind w:left="20"/>
        <w:jc w:val="both"/>
        <w:rPr>
          <w:sz w:val="24"/>
        </w:rPr>
      </w:pPr>
    </w:p>
    <w:p w14:paraId="41AA6010" w14:textId="77777777" w:rsidR="000407A5" w:rsidRPr="00384B20" w:rsidRDefault="000407A5">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14:paraId="40341589" w14:textId="77777777" w:rsidR="000407A5" w:rsidRPr="00384B20" w:rsidRDefault="000407A5">
      <w:pPr>
        <w:ind w:right="1800" w:firstLine="0"/>
        <w:jc w:val="both"/>
        <w:rPr>
          <w:sz w:val="24"/>
        </w:rPr>
      </w:pPr>
    </w:p>
    <w:p w14:paraId="292B0CCD" w14:textId="77777777" w:rsidR="000407A5" w:rsidRPr="00384B20" w:rsidRDefault="000407A5" w:rsidP="000407A5">
      <w:pPr>
        <w:ind w:left="360" w:right="360" w:firstLine="0"/>
        <w:jc w:val="both"/>
        <w:rPr>
          <w:sz w:val="24"/>
        </w:rPr>
      </w:pPr>
      <w:r w:rsidRPr="00384B20">
        <w:rPr>
          <w:sz w:val="24"/>
        </w:rPr>
        <w:t>Pour le texte: Times New Roman, 14 points.</w:t>
      </w:r>
    </w:p>
    <w:p w14:paraId="7396DAC1" w14:textId="77777777" w:rsidR="000407A5" w:rsidRPr="00384B20" w:rsidRDefault="000407A5" w:rsidP="000407A5">
      <w:pPr>
        <w:ind w:left="360" w:right="360" w:firstLine="0"/>
        <w:jc w:val="both"/>
        <w:rPr>
          <w:sz w:val="24"/>
        </w:rPr>
      </w:pPr>
      <w:r w:rsidRPr="00384B20">
        <w:rPr>
          <w:sz w:val="24"/>
        </w:rPr>
        <w:t>Pour les notes de bas de page : Times New Roman, 12 points.</w:t>
      </w:r>
    </w:p>
    <w:p w14:paraId="7D53067C" w14:textId="77777777" w:rsidR="000407A5" w:rsidRPr="00384B20" w:rsidRDefault="000407A5">
      <w:pPr>
        <w:ind w:left="360" w:right="1800" w:firstLine="0"/>
        <w:jc w:val="both"/>
        <w:rPr>
          <w:sz w:val="24"/>
        </w:rPr>
      </w:pPr>
    </w:p>
    <w:p w14:paraId="752CC44C" w14:textId="77777777" w:rsidR="000407A5" w:rsidRPr="00384B20" w:rsidRDefault="000407A5">
      <w:pPr>
        <w:ind w:right="360" w:firstLine="0"/>
        <w:jc w:val="both"/>
        <w:rPr>
          <w:sz w:val="24"/>
        </w:rPr>
      </w:pPr>
      <w:r w:rsidRPr="00384B20">
        <w:rPr>
          <w:sz w:val="24"/>
        </w:rPr>
        <w:t>Édition électronique réalisée avec le traitement de textes Microsoft Word 2008 pour Macintosh.</w:t>
      </w:r>
    </w:p>
    <w:p w14:paraId="51737E2F" w14:textId="77777777" w:rsidR="000407A5" w:rsidRPr="00384B20" w:rsidRDefault="000407A5">
      <w:pPr>
        <w:ind w:right="1800" w:firstLine="0"/>
        <w:jc w:val="both"/>
        <w:rPr>
          <w:sz w:val="24"/>
        </w:rPr>
      </w:pPr>
    </w:p>
    <w:p w14:paraId="56BCC48A" w14:textId="77777777" w:rsidR="000407A5" w:rsidRPr="00384B20" w:rsidRDefault="000407A5" w:rsidP="000407A5">
      <w:pPr>
        <w:ind w:right="540" w:firstLine="0"/>
        <w:jc w:val="both"/>
        <w:rPr>
          <w:sz w:val="24"/>
        </w:rPr>
      </w:pPr>
      <w:r w:rsidRPr="00384B20">
        <w:rPr>
          <w:sz w:val="24"/>
        </w:rPr>
        <w:t>Mise en page sur papier format : LETTRE US, 8.5’’ x 11’’.</w:t>
      </w:r>
    </w:p>
    <w:p w14:paraId="22CCB874" w14:textId="77777777" w:rsidR="000407A5" w:rsidRPr="00384B20" w:rsidRDefault="000407A5">
      <w:pPr>
        <w:ind w:right="1800" w:firstLine="0"/>
        <w:jc w:val="both"/>
        <w:rPr>
          <w:sz w:val="24"/>
        </w:rPr>
      </w:pPr>
    </w:p>
    <w:p w14:paraId="22CCF736" w14:textId="77777777" w:rsidR="000407A5" w:rsidRPr="00384B20" w:rsidRDefault="000407A5" w:rsidP="000407A5">
      <w:pPr>
        <w:ind w:firstLine="0"/>
        <w:jc w:val="both"/>
        <w:rPr>
          <w:sz w:val="24"/>
        </w:rPr>
      </w:pPr>
      <w:r w:rsidRPr="00384B20">
        <w:rPr>
          <w:sz w:val="24"/>
        </w:rPr>
        <w:t xml:space="preserve">Édition numérique réalisée le </w:t>
      </w:r>
      <w:r>
        <w:rPr>
          <w:sz w:val="24"/>
        </w:rPr>
        <w:t>27 octobre 2024 à Chicoutimi</w:t>
      </w:r>
      <w:r w:rsidRPr="00384B20">
        <w:rPr>
          <w:sz w:val="24"/>
        </w:rPr>
        <w:t>, Québec.</w:t>
      </w:r>
    </w:p>
    <w:p w14:paraId="2C348785" w14:textId="77777777" w:rsidR="000407A5" w:rsidRPr="00384B20" w:rsidRDefault="000407A5">
      <w:pPr>
        <w:ind w:right="1800" w:firstLine="0"/>
        <w:jc w:val="both"/>
        <w:rPr>
          <w:sz w:val="24"/>
        </w:rPr>
      </w:pPr>
    </w:p>
    <w:p w14:paraId="763FB5EE" w14:textId="77777777" w:rsidR="000407A5" w:rsidRPr="00E07116" w:rsidRDefault="00E26D64">
      <w:pPr>
        <w:ind w:right="1800" w:firstLine="0"/>
        <w:jc w:val="both"/>
      </w:pPr>
      <w:r w:rsidRPr="00195690">
        <w:rPr>
          <w:noProof/>
          <w:lang w:val="fr-FR" w:eastAsia="fr-FR"/>
        </w:rPr>
        <w:drawing>
          <wp:inline distT="0" distB="0" distL="0" distR="0" wp14:anchorId="609D0BE0" wp14:editId="03DD6CC4">
            <wp:extent cx="1117600" cy="393700"/>
            <wp:effectExtent l="0" t="0" r="0" b="0"/>
            <wp:docPr id="7"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 descr="fait_sur_mac"/>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053369A5" w14:textId="77777777" w:rsidR="000407A5" w:rsidRDefault="000407A5" w:rsidP="000407A5">
      <w:pPr>
        <w:ind w:firstLine="0"/>
        <w:jc w:val="both"/>
      </w:pPr>
      <w:r w:rsidRPr="00E07116">
        <w:br w:type="page"/>
      </w:r>
    </w:p>
    <w:p w14:paraId="20688DEC" w14:textId="77777777" w:rsidR="000407A5" w:rsidRDefault="000407A5" w:rsidP="000407A5">
      <w:pPr>
        <w:ind w:firstLine="0"/>
        <w:jc w:val="both"/>
      </w:pPr>
    </w:p>
    <w:p w14:paraId="66196C4D" w14:textId="77777777" w:rsidR="000407A5" w:rsidRPr="007150EF" w:rsidRDefault="000407A5" w:rsidP="000407A5">
      <w:pPr>
        <w:ind w:firstLine="0"/>
        <w:jc w:val="center"/>
        <w:rPr>
          <w:sz w:val="36"/>
        </w:rPr>
      </w:pPr>
      <w:r>
        <w:rPr>
          <w:sz w:val="36"/>
        </w:rPr>
        <w:t>Roland PFEFFERKORN</w:t>
      </w:r>
    </w:p>
    <w:p w14:paraId="785CB071" w14:textId="77777777" w:rsidR="000407A5" w:rsidRDefault="000407A5" w:rsidP="000407A5">
      <w:pPr>
        <w:ind w:firstLine="0"/>
        <w:jc w:val="center"/>
        <w:rPr>
          <w:sz w:val="20"/>
        </w:rPr>
      </w:pPr>
      <w:r>
        <w:rPr>
          <w:sz w:val="20"/>
        </w:rPr>
        <w:t>Laboratoire “Culture et sociétés en Europe”</w:t>
      </w:r>
      <w:r>
        <w:rPr>
          <w:sz w:val="20"/>
        </w:rPr>
        <w:br/>
        <w:t>(UMR du CNRS NO 7043)</w:t>
      </w:r>
      <w:r>
        <w:rPr>
          <w:sz w:val="20"/>
        </w:rPr>
        <w:br/>
        <w:t>Université Marc Bloch, Strasbourg</w:t>
      </w:r>
    </w:p>
    <w:p w14:paraId="16E9E387" w14:textId="77777777" w:rsidR="000407A5" w:rsidRPr="00E07116" w:rsidRDefault="000407A5" w:rsidP="000407A5">
      <w:pPr>
        <w:ind w:firstLine="0"/>
        <w:jc w:val="center"/>
      </w:pPr>
    </w:p>
    <w:p w14:paraId="25CA6AEA" w14:textId="77777777" w:rsidR="000407A5" w:rsidRDefault="000407A5" w:rsidP="000407A5">
      <w:pPr>
        <w:ind w:firstLine="0"/>
        <w:jc w:val="center"/>
        <w:rPr>
          <w:color w:val="000080"/>
          <w:sz w:val="36"/>
        </w:rPr>
      </w:pPr>
      <w:r>
        <w:rPr>
          <w:color w:val="000080"/>
          <w:sz w:val="36"/>
        </w:rPr>
        <w:t>“Figures de l’altérité.</w:t>
      </w:r>
      <w:r>
        <w:rPr>
          <w:color w:val="000080"/>
          <w:sz w:val="36"/>
        </w:rPr>
        <w:br/>
        <w:t>Le fou et l’immigré.”</w:t>
      </w:r>
    </w:p>
    <w:p w14:paraId="617467AD" w14:textId="77777777" w:rsidR="000407A5" w:rsidRPr="008B4504" w:rsidRDefault="000407A5" w:rsidP="000407A5">
      <w:pPr>
        <w:ind w:firstLine="0"/>
        <w:jc w:val="center"/>
        <w:rPr>
          <w:color w:val="000080"/>
        </w:rPr>
      </w:pPr>
    </w:p>
    <w:p w14:paraId="49BA3B6D" w14:textId="77777777" w:rsidR="000407A5" w:rsidRPr="00E07116" w:rsidRDefault="00E26D64" w:rsidP="000407A5">
      <w:pPr>
        <w:ind w:firstLine="0"/>
        <w:jc w:val="center"/>
      </w:pPr>
      <w:r>
        <w:rPr>
          <w:noProof/>
        </w:rPr>
        <w:drawing>
          <wp:inline distT="0" distB="0" distL="0" distR="0" wp14:anchorId="60A24D41" wp14:editId="4D7A9D57">
            <wp:extent cx="3556000" cy="4356100"/>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556000" cy="4356100"/>
                    </a:xfrm>
                    <a:prstGeom prst="rect">
                      <a:avLst/>
                    </a:prstGeom>
                    <a:noFill/>
                    <a:ln>
                      <a:noFill/>
                    </a:ln>
                  </pic:spPr>
                </pic:pic>
              </a:graphicData>
            </a:graphic>
          </wp:inline>
        </w:drawing>
      </w:r>
    </w:p>
    <w:p w14:paraId="0886ADCD" w14:textId="77777777" w:rsidR="000407A5" w:rsidRDefault="000407A5" w:rsidP="000407A5">
      <w:pPr>
        <w:ind w:firstLine="0"/>
        <w:jc w:val="center"/>
      </w:pPr>
    </w:p>
    <w:p w14:paraId="31C645D9" w14:textId="77777777" w:rsidR="000407A5" w:rsidRDefault="000407A5" w:rsidP="000407A5">
      <w:pPr>
        <w:spacing w:before="120" w:after="120"/>
        <w:ind w:firstLine="0"/>
        <w:jc w:val="both"/>
      </w:pPr>
      <w:r>
        <w:t xml:space="preserve">In </w:t>
      </w:r>
      <w:r>
        <w:rPr>
          <w:b/>
          <w:i/>
          <w:color w:val="FF0000"/>
        </w:rPr>
        <w:t>Revue des sciences sociales de la France de l’Est</w:t>
      </w:r>
      <w:r>
        <w:t>, no 21, 1994, pp. 154-161.</w:t>
      </w:r>
    </w:p>
    <w:p w14:paraId="1E726E66" w14:textId="77777777" w:rsidR="000407A5" w:rsidRPr="00E07116" w:rsidRDefault="000407A5" w:rsidP="000407A5">
      <w:pPr>
        <w:jc w:val="both"/>
      </w:pPr>
      <w:r w:rsidRPr="00E07116">
        <w:br w:type="page"/>
      </w:r>
    </w:p>
    <w:p w14:paraId="27020D5B" w14:textId="77777777" w:rsidR="000407A5" w:rsidRPr="00E07116" w:rsidRDefault="000407A5" w:rsidP="000407A5">
      <w:pPr>
        <w:pStyle w:val="p"/>
      </w:pPr>
    </w:p>
    <w:p w14:paraId="14C72EC8" w14:textId="77777777" w:rsidR="000407A5" w:rsidRPr="00E07116" w:rsidRDefault="000407A5">
      <w:pPr>
        <w:jc w:val="both"/>
      </w:pPr>
    </w:p>
    <w:p w14:paraId="385A7683" w14:textId="77777777" w:rsidR="000407A5" w:rsidRPr="00E07116" w:rsidRDefault="000407A5">
      <w:pPr>
        <w:jc w:val="both"/>
      </w:pPr>
    </w:p>
    <w:p w14:paraId="018160DA" w14:textId="77777777" w:rsidR="000407A5" w:rsidRPr="00E07116" w:rsidRDefault="000407A5">
      <w:pPr>
        <w:jc w:val="both"/>
      </w:pPr>
    </w:p>
    <w:p w14:paraId="5B6D35D4" w14:textId="77777777" w:rsidR="000407A5" w:rsidRPr="00E07116" w:rsidRDefault="000407A5" w:rsidP="000407A5">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07B6ED6C" w14:textId="77777777" w:rsidR="000407A5" w:rsidRPr="00E07116" w:rsidRDefault="000407A5" w:rsidP="000407A5">
      <w:pPr>
        <w:pStyle w:val="NormalWeb"/>
        <w:spacing w:before="2" w:after="2"/>
        <w:jc w:val="both"/>
        <w:rPr>
          <w:rFonts w:ascii="Times New Roman" w:hAnsi="Times New Roman"/>
          <w:sz w:val="28"/>
        </w:rPr>
      </w:pPr>
    </w:p>
    <w:p w14:paraId="0FBEFA4A" w14:textId="77777777" w:rsidR="000407A5" w:rsidRPr="00E07116" w:rsidRDefault="000407A5" w:rsidP="000407A5">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2C94A93F" w14:textId="77777777" w:rsidR="000407A5" w:rsidRPr="00E07116" w:rsidRDefault="000407A5" w:rsidP="000407A5">
      <w:pPr>
        <w:jc w:val="both"/>
        <w:rPr>
          <w:szCs w:val="19"/>
        </w:rPr>
      </w:pPr>
    </w:p>
    <w:p w14:paraId="5E2DB0D9" w14:textId="77777777" w:rsidR="000407A5" w:rsidRPr="00E07116" w:rsidRDefault="000407A5">
      <w:pPr>
        <w:jc w:val="both"/>
        <w:rPr>
          <w:szCs w:val="19"/>
        </w:rPr>
      </w:pPr>
    </w:p>
    <w:p w14:paraId="19E6624E" w14:textId="77777777" w:rsidR="000407A5" w:rsidRDefault="000407A5" w:rsidP="000407A5">
      <w:pPr>
        <w:spacing w:before="120" w:after="120"/>
        <w:ind w:firstLine="0"/>
        <w:jc w:val="both"/>
      </w:pPr>
      <w:r w:rsidRPr="00E07116">
        <w:br w:type="page"/>
      </w:r>
    </w:p>
    <w:p w14:paraId="36560C46" w14:textId="77777777" w:rsidR="000407A5" w:rsidRDefault="000407A5" w:rsidP="000407A5">
      <w:pPr>
        <w:ind w:firstLine="0"/>
        <w:jc w:val="both"/>
      </w:pPr>
    </w:p>
    <w:p w14:paraId="1E21AD47" w14:textId="77777777" w:rsidR="000407A5" w:rsidRDefault="000407A5" w:rsidP="000407A5">
      <w:pPr>
        <w:ind w:firstLine="0"/>
        <w:jc w:val="both"/>
      </w:pPr>
    </w:p>
    <w:p w14:paraId="0D013A16" w14:textId="77777777" w:rsidR="000407A5" w:rsidRPr="007150EF" w:rsidRDefault="000407A5" w:rsidP="000407A5">
      <w:pPr>
        <w:ind w:firstLine="0"/>
        <w:jc w:val="center"/>
        <w:rPr>
          <w:sz w:val="36"/>
        </w:rPr>
      </w:pPr>
      <w:r>
        <w:rPr>
          <w:sz w:val="36"/>
        </w:rPr>
        <w:t>Roland PFEFFERKORN</w:t>
      </w:r>
    </w:p>
    <w:p w14:paraId="031E27CD" w14:textId="77777777" w:rsidR="000407A5" w:rsidRDefault="000407A5" w:rsidP="000407A5">
      <w:pPr>
        <w:ind w:firstLine="0"/>
        <w:jc w:val="center"/>
        <w:rPr>
          <w:sz w:val="20"/>
        </w:rPr>
      </w:pPr>
      <w:r>
        <w:rPr>
          <w:sz w:val="20"/>
        </w:rPr>
        <w:t>Laboratoire “Culture et sociétés en Europe”</w:t>
      </w:r>
      <w:r>
        <w:rPr>
          <w:sz w:val="20"/>
        </w:rPr>
        <w:br/>
        <w:t>(UMR du CNRS NO 7043)</w:t>
      </w:r>
      <w:r>
        <w:rPr>
          <w:sz w:val="20"/>
        </w:rPr>
        <w:br/>
        <w:t>Université Marc Bloch, Strasbourg</w:t>
      </w:r>
    </w:p>
    <w:p w14:paraId="36E993BA" w14:textId="77777777" w:rsidR="000407A5" w:rsidRPr="00E07116" w:rsidRDefault="000407A5" w:rsidP="000407A5">
      <w:pPr>
        <w:ind w:firstLine="0"/>
        <w:jc w:val="center"/>
      </w:pPr>
    </w:p>
    <w:p w14:paraId="39D51F83" w14:textId="77777777" w:rsidR="000407A5" w:rsidRDefault="000407A5" w:rsidP="000407A5">
      <w:pPr>
        <w:ind w:firstLine="0"/>
        <w:jc w:val="center"/>
        <w:rPr>
          <w:color w:val="000080"/>
          <w:sz w:val="36"/>
        </w:rPr>
      </w:pPr>
      <w:r>
        <w:rPr>
          <w:color w:val="000080"/>
          <w:sz w:val="36"/>
        </w:rPr>
        <w:t>“Figures de l’altérité.</w:t>
      </w:r>
      <w:r>
        <w:rPr>
          <w:color w:val="000080"/>
          <w:sz w:val="36"/>
        </w:rPr>
        <w:br/>
        <w:t>Le fou et l’immigré.”</w:t>
      </w:r>
    </w:p>
    <w:p w14:paraId="4026C65F" w14:textId="77777777" w:rsidR="000407A5" w:rsidRDefault="000407A5" w:rsidP="000407A5">
      <w:pPr>
        <w:ind w:firstLine="0"/>
        <w:jc w:val="center"/>
      </w:pPr>
    </w:p>
    <w:p w14:paraId="2A9505ED" w14:textId="77777777" w:rsidR="000407A5" w:rsidRDefault="000407A5" w:rsidP="000407A5">
      <w:pPr>
        <w:spacing w:before="120" w:after="120"/>
        <w:ind w:firstLine="0"/>
        <w:jc w:val="both"/>
      </w:pPr>
      <w:r>
        <w:t xml:space="preserve">In </w:t>
      </w:r>
      <w:r>
        <w:rPr>
          <w:b/>
          <w:i/>
          <w:color w:val="FF0000"/>
        </w:rPr>
        <w:t>Revue des sciences sociales de la France de l’Est</w:t>
      </w:r>
      <w:r>
        <w:t>, no 21, 1994, pp. 154-161.</w:t>
      </w:r>
    </w:p>
    <w:p w14:paraId="32111FA7" w14:textId="77777777" w:rsidR="000407A5" w:rsidRDefault="000407A5" w:rsidP="000407A5">
      <w:pPr>
        <w:jc w:val="both"/>
      </w:pPr>
    </w:p>
    <w:p w14:paraId="55F8193E" w14:textId="77777777" w:rsidR="000407A5" w:rsidRDefault="000407A5" w:rsidP="000407A5">
      <w:pPr>
        <w:jc w:val="both"/>
      </w:pPr>
    </w:p>
    <w:p w14:paraId="29ED359E" w14:textId="77777777" w:rsidR="000407A5" w:rsidRDefault="000407A5" w:rsidP="000407A5">
      <w:pPr>
        <w:pStyle w:val="a"/>
      </w:pPr>
      <w:r>
        <w:t>Abstract</w:t>
      </w:r>
    </w:p>
    <w:p w14:paraId="0C2EBCED" w14:textId="77777777" w:rsidR="000407A5" w:rsidRPr="00E07116" w:rsidRDefault="000407A5" w:rsidP="000407A5">
      <w:pPr>
        <w:jc w:val="both"/>
      </w:pPr>
    </w:p>
    <w:p w14:paraId="7812915B" w14:textId="77777777" w:rsidR="000407A5" w:rsidRPr="00E07116" w:rsidRDefault="000407A5" w:rsidP="000407A5">
      <w:pPr>
        <w:jc w:val="both"/>
      </w:pPr>
    </w:p>
    <w:p w14:paraId="7B5F5846" w14:textId="77777777" w:rsidR="000407A5" w:rsidRDefault="000407A5" w:rsidP="000407A5">
      <w:pPr>
        <w:jc w:val="both"/>
      </w:pPr>
    </w:p>
    <w:p w14:paraId="13CA7E54" w14:textId="77777777" w:rsidR="000407A5" w:rsidRDefault="000407A5" w:rsidP="000407A5">
      <w:pPr>
        <w:jc w:val="both"/>
      </w:pPr>
      <w:r>
        <w:t>Figures of Otherness : the Lunatic and the Immigrant.</w:t>
      </w:r>
    </w:p>
    <w:p w14:paraId="5A5D0A98" w14:textId="77777777" w:rsidR="000407A5" w:rsidRDefault="000407A5" w:rsidP="000407A5">
      <w:pPr>
        <w:jc w:val="both"/>
      </w:pPr>
      <w:r>
        <w:t>The object of this article is to parallel two typically – ideal figures of otherness : the lunatic and the immigrant. Mentally – ill people pl</w:t>
      </w:r>
      <w:r>
        <w:t>a</w:t>
      </w:r>
      <w:r>
        <w:t>ced in families, in a kind of semi-liberty, stay on the fringe of the s</w:t>
      </w:r>
      <w:r>
        <w:t>o</w:t>
      </w:r>
      <w:r>
        <w:t>ciety in which they live. The imaginary fear of contagion is m</w:t>
      </w:r>
      <w:r>
        <w:t>a</w:t>
      </w:r>
      <w:r>
        <w:t>de use of to repulse the lunatic ; the myth of purity which has to be preserved is employed to safeguard the integrity of the physical body and by e</w:t>
      </w:r>
      <w:r>
        <w:t>x</w:t>
      </w:r>
      <w:r>
        <w:t>tension, of the social body. Likewise, the immigrant, g</w:t>
      </w:r>
      <w:r>
        <w:t>e</w:t>
      </w:r>
      <w:r>
        <w:t>nerally of a different nationality, can only partly legitimate his presence amongst the group, through his work. But he too, stays on the fringe of the group, in particular because he has no political rights. When it comes down to it, he is the archetype of the socially and politically domin</w:t>
      </w:r>
      <w:r>
        <w:t>a</w:t>
      </w:r>
      <w:r>
        <w:t>ted figure in a world of unequality.</w:t>
      </w:r>
    </w:p>
    <w:p w14:paraId="3E6C5E42" w14:textId="77777777" w:rsidR="000407A5" w:rsidRDefault="000407A5" w:rsidP="000407A5">
      <w:pPr>
        <w:pStyle w:val="p"/>
      </w:pPr>
      <w:r>
        <w:br w:type="page"/>
        <w:t>[154]</w:t>
      </w:r>
    </w:p>
    <w:p w14:paraId="5E68D92D" w14:textId="77777777" w:rsidR="000407A5" w:rsidRPr="00BF4073" w:rsidRDefault="000407A5" w:rsidP="000407A5">
      <w:pPr>
        <w:spacing w:before="120"/>
        <w:jc w:val="both"/>
      </w:pPr>
    </w:p>
    <w:p w14:paraId="77606CF5" w14:textId="77777777" w:rsidR="000407A5" w:rsidRPr="00113C0E" w:rsidRDefault="000407A5" w:rsidP="000407A5">
      <w:pPr>
        <w:spacing w:before="120"/>
        <w:ind w:firstLine="0"/>
        <w:jc w:val="center"/>
        <w:rPr>
          <w:b/>
          <w:bCs/>
          <w:sz w:val="64"/>
          <w:szCs w:val="76"/>
        </w:rPr>
      </w:pPr>
      <w:r w:rsidRPr="00113C0E">
        <w:rPr>
          <w:b/>
          <w:bCs/>
          <w:sz w:val="64"/>
          <w:szCs w:val="76"/>
        </w:rPr>
        <w:t>“Figures de l'altérité.</w:t>
      </w:r>
    </w:p>
    <w:p w14:paraId="4940FC7F" w14:textId="77777777" w:rsidR="000407A5" w:rsidRPr="00113C0E" w:rsidRDefault="000407A5" w:rsidP="000407A5">
      <w:pPr>
        <w:spacing w:before="120"/>
        <w:ind w:firstLine="0"/>
        <w:jc w:val="center"/>
        <w:rPr>
          <w:sz w:val="40"/>
        </w:rPr>
      </w:pPr>
      <w:r w:rsidRPr="00113C0E">
        <w:rPr>
          <w:b/>
          <w:bCs/>
          <w:sz w:val="40"/>
          <w:szCs w:val="56"/>
        </w:rPr>
        <w:t>Le fou et l'immigré.”</w:t>
      </w:r>
    </w:p>
    <w:p w14:paraId="5D2379F6" w14:textId="77777777" w:rsidR="000407A5" w:rsidRDefault="000407A5" w:rsidP="000407A5">
      <w:pPr>
        <w:spacing w:before="120"/>
        <w:jc w:val="both"/>
      </w:pPr>
    </w:p>
    <w:p w14:paraId="350ACCCD" w14:textId="77777777" w:rsidR="000407A5" w:rsidRDefault="000407A5" w:rsidP="000407A5">
      <w:pPr>
        <w:spacing w:before="120"/>
        <w:jc w:val="both"/>
        <w:rPr>
          <w:i/>
          <w:iCs/>
        </w:rPr>
      </w:pPr>
    </w:p>
    <w:p w14:paraId="7A5FA6AA" w14:textId="77777777" w:rsidR="000407A5" w:rsidRDefault="000407A5" w:rsidP="000407A5">
      <w:pPr>
        <w:spacing w:before="120"/>
        <w:jc w:val="both"/>
        <w:rPr>
          <w:i/>
          <w:iCs/>
        </w:rPr>
      </w:pPr>
    </w:p>
    <w:p w14:paraId="4289D1ED" w14:textId="77777777" w:rsidR="000407A5" w:rsidRDefault="000407A5" w:rsidP="000407A5">
      <w:pPr>
        <w:spacing w:before="120"/>
        <w:jc w:val="both"/>
        <w:rPr>
          <w:i/>
          <w:iCs/>
        </w:rPr>
      </w:pPr>
    </w:p>
    <w:p w14:paraId="3C4748D7" w14:textId="77777777" w:rsidR="000407A5" w:rsidRDefault="000407A5" w:rsidP="000407A5">
      <w:pPr>
        <w:spacing w:before="120"/>
        <w:jc w:val="both"/>
        <w:rPr>
          <w:i/>
          <w:iCs/>
        </w:rPr>
      </w:pPr>
      <w:r w:rsidRPr="00BF4073">
        <w:rPr>
          <w:i/>
          <w:iCs/>
        </w:rPr>
        <w:t>La résurgence dans le domaine public, depuis une quinzaine d'a</w:t>
      </w:r>
      <w:r w:rsidRPr="00BF4073">
        <w:rPr>
          <w:i/>
          <w:iCs/>
        </w:rPr>
        <w:t>n</w:t>
      </w:r>
      <w:r w:rsidRPr="00BF4073">
        <w:rPr>
          <w:i/>
          <w:iCs/>
        </w:rPr>
        <w:t>nées, des diverses formes de racisme nous conduit à réinterroger ces deux figures idéal-typiques de l'altérité que sont le fou et l'immigré. Les réflexions qui suivent visent à prolonger des travaux publiés dans cette revue à propos de l'immigration</w:t>
      </w:r>
      <w:r>
        <w:rPr>
          <w:iCs/>
        </w:rPr>
        <w:t> </w:t>
      </w:r>
      <w:r>
        <w:rPr>
          <w:rStyle w:val="Appelnotedebasdep"/>
          <w:iCs/>
        </w:rPr>
        <w:footnoteReference w:id="1"/>
      </w:r>
      <w:r w:rsidRPr="00BF4073">
        <w:rPr>
          <w:i/>
          <w:iCs/>
        </w:rPr>
        <w:t>.  Elles prendront pour point de départ deux livres importants</w:t>
      </w:r>
      <w:r>
        <w:rPr>
          <w:i/>
          <w:iCs/>
        </w:rPr>
        <w:t> :</w:t>
      </w:r>
      <w:r w:rsidRPr="00BF4073">
        <w:rPr>
          <w:i/>
          <w:iCs/>
        </w:rPr>
        <w:t xml:space="preserve"> </w:t>
      </w:r>
      <w:r>
        <w:t>« </w:t>
      </w:r>
      <w:r w:rsidRPr="00BF4073">
        <w:t>Folies et représentations soci</w:t>
      </w:r>
      <w:r w:rsidRPr="00BF4073">
        <w:t>a</w:t>
      </w:r>
      <w:r w:rsidRPr="00BF4073">
        <w:t>les</w:t>
      </w:r>
      <w:r>
        <w:t> »</w:t>
      </w:r>
      <w:r w:rsidRPr="00BF4073">
        <w:t xml:space="preserve"> </w:t>
      </w:r>
      <w:r>
        <w:rPr>
          <w:i/>
          <w:iCs/>
        </w:rPr>
        <w:t>de Denise Jodelet</w:t>
      </w:r>
      <w:r>
        <w:rPr>
          <w:iCs/>
        </w:rPr>
        <w:t> </w:t>
      </w:r>
      <w:r>
        <w:rPr>
          <w:rStyle w:val="Appelnotedebasdep"/>
          <w:iCs/>
        </w:rPr>
        <w:footnoteReference w:id="2"/>
      </w:r>
      <w:r w:rsidRPr="00BF4073">
        <w:rPr>
          <w:i/>
          <w:iCs/>
        </w:rPr>
        <w:t xml:space="preserve"> et </w:t>
      </w:r>
      <w:r>
        <w:t>« </w:t>
      </w:r>
      <w:r w:rsidRPr="00BF4073">
        <w:t>L'immigration ou les paradoxes de l'alt</w:t>
      </w:r>
      <w:r w:rsidRPr="00BF4073">
        <w:t>é</w:t>
      </w:r>
      <w:r w:rsidRPr="00BF4073">
        <w:t>rité</w:t>
      </w:r>
      <w:r>
        <w:t> »</w:t>
      </w:r>
      <w:r w:rsidRPr="00BF4073">
        <w:t xml:space="preserve"> </w:t>
      </w:r>
      <w:r w:rsidRPr="00BF4073">
        <w:rPr>
          <w:i/>
          <w:iCs/>
        </w:rPr>
        <w:t xml:space="preserve">de Abdelmalek  </w:t>
      </w:r>
      <w:r w:rsidRPr="00FA2E58">
        <w:rPr>
          <w:iCs/>
        </w:rPr>
        <w:t>Sayad</w:t>
      </w:r>
      <w:r>
        <w:rPr>
          <w:iCs/>
        </w:rPr>
        <w:t> </w:t>
      </w:r>
      <w:r>
        <w:rPr>
          <w:rStyle w:val="Appelnotedebasdep"/>
          <w:iCs/>
        </w:rPr>
        <w:footnoteReference w:id="3"/>
      </w:r>
      <w:r w:rsidRPr="00BF4073">
        <w:rPr>
          <w:i/>
          <w:iCs/>
        </w:rPr>
        <w:t>.</w:t>
      </w:r>
    </w:p>
    <w:p w14:paraId="15C22E7C" w14:textId="77777777" w:rsidR="000407A5" w:rsidRDefault="000407A5" w:rsidP="000407A5">
      <w:pPr>
        <w:pBdr>
          <w:bottom w:val="single" w:sz="18" w:space="1" w:color="auto"/>
        </w:pBdr>
        <w:spacing w:before="120"/>
        <w:ind w:left="1440" w:right="1440" w:firstLine="0"/>
        <w:jc w:val="both"/>
      </w:pPr>
    </w:p>
    <w:p w14:paraId="557DFE5F" w14:textId="77777777" w:rsidR="000407A5" w:rsidRPr="00BF4073" w:rsidRDefault="000407A5" w:rsidP="000407A5">
      <w:pPr>
        <w:spacing w:before="120"/>
        <w:jc w:val="both"/>
        <w:rPr>
          <w:szCs w:val="2"/>
        </w:rPr>
      </w:pPr>
    </w:p>
    <w:p w14:paraId="5D946C9C" w14:textId="77777777" w:rsidR="000407A5" w:rsidRPr="00BF4073" w:rsidRDefault="000407A5" w:rsidP="000407A5">
      <w:pPr>
        <w:spacing w:before="120"/>
        <w:jc w:val="both"/>
      </w:pPr>
      <w:r w:rsidRPr="00BF4073">
        <w:rPr>
          <w:szCs w:val="99"/>
        </w:rPr>
        <w:t>L</w:t>
      </w:r>
      <w:r>
        <w:rPr>
          <w:szCs w:val="99"/>
        </w:rPr>
        <w:t>’</w:t>
      </w:r>
      <w:r w:rsidRPr="00BF4073">
        <w:rPr>
          <w:szCs w:val="16"/>
        </w:rPr>
        <w:t>altérité du malade mental, l'absolument autre, originaire de l'i</w:t>
      </w:r>
      <w:r w:rsidRPr="00BF4073">
        <w:rPr>
          <w:szCs w:val="16"/>
        </w:rPr>
        <w:t>n</w:t>
      </w:r>
      <w:r w:rsidRPr="00BF4073">
        <w:rPr>
          <w:szCs w:val="16"/>
        </w:rPr>
        <w:t xml:space="preserve">térieur de la société trace une frontière entre les groupes </w:t>
      </w:r>
      <w:r>
        <w:rPr>
          <w:szCs w:val="16"/>
        </w:rPr>
        <w:t>« </w:t>
      </w:r>
      <w:r w:rsidRPr="00BF4073">
        <w:rPr>
          <w:szCs w:val="16"/>
        </w:rPr>
        <w:t>normaux</w:t>
      </w:r>
      <w:r>
        <w:rPr>
          <w:szCs w:val="16"/>
        </w:rPr>
        <w:t> »</w:t>
      </w:r>
      <w:r w:rsidRPr="00BF4073">
        <w:rPr>
          <w:szCs w:val="16"/>
        </w:rPr>
        <w:t xml:space="preserve"> et le groupe des malades construit en négatif. L'altérité de l'immigré, l'autre au départ extérieur au groupe social, questionne l'identité du groupe. La présence de l'immigré est ainsi une présence </w:t>
      </w:r>
      <w:r w:rsidRPr="00BF4073">
        <w:rPr>
          <w:i/>
          <w:iCs/>
          <w:szCs w:val="16"/>
        </w:rPr>
        <w:t xml:space="preserve">étrangère </w:t>
      </w:r>
      <w:r w:rsidRPr="00BF4073">
        <w:rPr>
          <w:szCs w:val="16"/>
        </w:rPr>
        <w:t xml:space="preserve">ou plutôt une présence qui est perçue comme telle par le groupe. Georg Simmel note déjà au début de ce siècle que la position de l'étranger dans le groupe </w:t>
      </w:r>
      <w:r>
        <w:rPr>
          <w:szCs w:val="16"/>
        </w:rPr>
        <w:t>« </w:t>
      </w:r>
      <w:r w:rsidRPr="00BF4073">
        <w:rPr>
          <w:szCs w:val="16"/>
        </w:rPr>
        <w:t>est essentiellement déterminée par le fait qu'il ne fait pas partie de ce groupe depuis le début, qu'il y a introduit des caract</w:t>
      </w:r>
      <w:r w:rsidRPr="00BF4073">
        <w:rPr>
          <w:szCs w:val="16"/>
        </w:rPr>
        <w:t>é</w:t>
      </w:r>
      <w:r w:rsidRPr="00BF4073">
        <w:rPr>
          <w:szCs w:val="16"/>
        </w:rPr>
        <w:t>ristiques qui ne lui sont pas propres et qui ne peuvent l'être</w:t>
      </w:r>
      <w:r>
        <w:rPr>
          <w:szCs w:val="16"/>
        </w:rPr>
        <w:t> »</w:t>
      </w:r>
      <w:r w:rsidRPr="00BF4073">
        <w:rPr>
          <w:szCs w:val="16"/>
        </w:rPr>
        <w:t xml:space="preserve">. C'est pourquoi le sociologue allemand caractérise l'étranger comme </w:t>
      </w:r>
      <w:r>
        <w:rPr>
          <w:szCs w:val="16"/>
        </w:rPr>
        <w:t>« </w:t>
      </w:r>
      <w:r w:rsidRPr="00BF4073">
        <w:rPr>
          <w:szCs w:val="16"/>
        </w:rPr>
        <w:t>élément du groupe lui-même</w:t>
      </w:r>
      <w:r>
        <w:rPr>
          <w:szCs w:val="16"/>
        </w:rPr>
        <w:t> »</w:t>
      </w:r>
      <w:r w:rsidRPr="00BF4073">
        <w:rPr>
          <w:szCs w:val="16"/>
        </w:rPr>
        <w:t xml:space="preserve">, mais </w:t>
      </w:r>
      <w:r>
        <w:rPr>
          <w:szCs w:val="16"/>
        </w:rPr>
        <w:t>« </w:t>
      </w:r>
      <w:r w:rsidRPr="00BF4073">
        <w:rPr>
          <w:szCs w:val="16"/>
        </w:rPr>
        <w:t>dont la position interne et l'appartenance impliquent tout à la fois l'extériorité et l'opposition</w:t>
      </w:r>
      <w:r>
        <w:rPr>
          <w:szCs w:val="16"/>
        </w:rPr>
        <w:t> » </w:t>
      </w:r>
      <w:r>
        <w:rPr>
          <w:rStyle w:val="Appelnotedebasdep"/>
          <w:szCs w:val="16"/>
        </w:rPr>
        <w:footnoteReference w:id="4"/>
      </w:r>
      <w:r w:rsidRPr="00BF4073">
        <w:rPr>
          <w:szCs w:val="16"/>
        </w:rPr>
        <w:t xml:space="preserve">. Freddy Raphaël souligne dans son étude consacrée à </w:t>
      </w:r>
      <w:r w:rsidRPr="00BF4073">
        <w:rPr>
          <w:i/>
          <w:iCs/>
          <w:szCs w:val="16"/>
        </w:rPr>
        <w:t xml:space="preserve">l'Etranger </w:t>
      </w:r>
      <w:r>
        <w:rPr>
          <w:szCs w:val="16"/>
        </w:rPr>
        <w:t>de Georg Simmel </w:t>
      </w:r>
      <w:r>
        <w:rPr>
          <w:rStyle w:val="Appelnotedebasdep"/>
          <w:szCs w:val="16"/>
        </w:rPr>
        <w:footnoteReference w:id="5"/>
      </w:r>
      <w:r w:rsidRPr="00BF4073">
        <w:rPr>
          <w:szCs w:val="16"/>
        </w:rPr>
        <w:t xml:space="preserve"> que </w:t>
      </w:r>
      <w:r>
        <w:rPr>
          <w:szCs w:val="16"/>
        </w:rPr>
        <w:t>« </w:t>
      </w:r>
      <w:r w:rsidRPr="00BF4073">
        <w:rPr>
          <w:szCs w:val="16"/>
        </w:rPr>
        <w:t>l'étranger dérange car il représente un facteur de déstabilisation dans une société qui entend se perpétuer par la r</w:t>
      </w:r>
      <w:r w:rsidRPr="00BF4073">
        <w:rPr>
          <w:szCs w:val="16"/>
        </w:rPr>
        <w:t>e</w:t>
      </w:r>
      <w:r w:rsidRPr="00BF4073">
        <w:rPr>
          <w:szCs w:val="16"/>
        </w:rPr>
        <w:t>production du même, et qui proclame son homogénéité</w:t>
      </w:r>
      <w:r>
        <w:rPr>
          <w:szCs w:val="16"/>
        </w:rPr>
        <w:t> »</w:t>
      </w:r>
      <w:r w:rsidRPr="00BF4073">
        <w:rPr>
          <w:szCs w:val="16"/>
        </w:rPr>
        <w:t>.</w:t>
      </w:r>
    </w:p>
    <w:p w14:paraId="22177E4E" w14:textId="77777777" w:rsidR="000407A5" w:rsidRPr="00BF4073" w:rsidRDefault="000407A5" w:rsidP="000407A5">
      <w:pPr>
        <w:spacing w:before="120"/>
        <w:jc w:val="both"/>
      </w:pPr>
      <w:r w:rsidRPr="00BF4073">
        <w:rPr>
          <w:szCs w:val="16"/>
        </w:rPr>
        <w:t>Denise Jodelet présente dans son livre, version résumée de sa thèse d'état, les résultats d'une enquête de quatre ans sur la Colonie familiale d'Ainay-le-Château dans le Bourbonnais. Plus de mille ressortissants   d'un  hôpital  psychiatrique  sont</w:t>
      </w:r>
      <w:r>
        <w:rPr>
          <w:szCs w:val="16"/>
        </w:rPr>
        <w:t xml:space="preserve"> </w:t>
      </w:r>
      <w:r w:rsidRPr="00BF4073">
        <w:rPr>
          <w:szCs w:val="16"/>
        </w:rPr>
        <w:t>placés chez l'habitant, dans près de 500 foyers, répartis sur 13 communes</w:t>
      </w:r>
      <w:r>
        <w:rPr>
          <w:szCs w:val="16"/>
        </w:rPr>
        <w:t> ;</w:t>
      </w:r>
      <w:r w:rsidRPr="00BF4073">
        <w:rPr>
          <w:szCs w:val="16"/>
        </w:rPr>
        <w:t xml:space="preserve"> toute l'organisation sociale locale s'est mise en place et fonctionne autour de la présence des m</w:t>
      </w:r>
      <w:r w:rsidRPr="00BF4073">
        <w:rPr>
          <w:szCs w:val="16"/>
        </w:rPr>
        <w:t>a</w:t>
      </w:r>
      <w:r w:rsidRPr="00BF4073">
        <w:rPr>
          <w:szCs w:val="16"/>
        </w:rPr>
        <w:t>lades mentaux, des avantages qu'elle procure et des inconvénients qu'elle crée. Ces malades, tous des hommes, sont appelés par les hab</w:t>
      </w:r>
      <w:r w:rsidRPr="00BF4073">
        <w:rPr>
          <w:szCs w:val="16"/>
        </w:rPr>
        <w:t>i</w:t>
      </w:r>
      <w:r w:rsidRPr="00BF4073">
        <w:rPr>
          <w:szCs w:val="16"/>
        </w:rPr>
        <w:t xml:space="preserve">tants du lieu des </w:t>
      </w:r>
      <w:r w:rsidRPr="00BF4073">
        <w:rPr>
          <w:i/>
          <w:iCs/>
          <w:szCs w:val="16"/>
        </w:rPr>
        <w:t xml:space="preserve">bredins, </w:t>
      </w:r>
      <w:r w:rsidRPr="00BF4073">
        <w:rPr>
          <w:szCs w:val="16"/>
        </w:rPr>
        <w:t xml:space="preserve">des non-civils, par opposition aux gens du pays qui se disent des </w:t>
      </w:r>
      <w:r w:rsidRPr="00BF4073">
        <w:rPr>
          <w:i/>
          <w:iCs/>
          <w:szCs w:val="16"/>
        </w:rPr>
        <w:t xml:space="preserve">civils. </w:t>
      </w:r>
      <w:r w:rsidRPr="00BF4073">
        <w:rPr>
          <w:szCs w:val="16"/>
        </w:rPr>
        <w:t>Ces derniers ont en effet leurs droits c</w:t>
      </w:r>
      <w:r w:rsidRPr="00BF4073">
        <w:rPr>
          <w:szCs w:val="16"/>
        </w:rPr>
        <w:t>i</w:t>
      </w:r>
      <w:r w:rsidRPr="00BF4073">
        <w:rPr>
          <w:szCs w:val="16"/>
        </w:rPr>
        <w:t>vils, c'est-à-dire notamment leurs droits de citoyens au sens fort, pol</w:t>
      </w:r>
      <w:r w:rsidRPr="00BF4073">
        <w:rPr>
          <w:szCs w:val="16"/>
        </w:rPr>
        <w:t>i</w:t>
      </w:r>
      <w:r w:rsidRPr="00BF4073">
        <w:rPr>
          <w:szCs w:val="16"/>
        </w:rPr>
        <w:t>tique du terme, contrairement aux malades qui en sont privés (comme par ailleurs les étrangers, même installés depuis fort longtemps en France, sont privés des droits politiques). L'altérité des bredins déco</w:t>
      </w:r>
      <w:r w:rsidRPr="00BF4073">
        <w:rPr>
          <w:szCs w:val="16"/>
        </w:rPr>
        <w:t>u</w:t>
      </w:r>
      <w:r w:rsidRPr="00BF4073">
        <w:rPr>
          <w:szCs w:val="16"/>
        </w:rPr>
        <w:t>le de leur appartenance ps</w:t>
      </w:r>
      <w:r w:rsidRPr="00BF4073">
        <w:rPr>
          <w:szCs w:val="16"/>
        </w:rPr>
        <w:t>y</w:t>
      </w:r>
      <w:r w:rsidRPr="00BF4073">
        <w:rPr>
          <w:szCs w:val="16"/>
        </w:rPr>
        <w:t>chiatrique, comme d'autres différences, nationale ou ethnique, de co</w:t>
      </w:r>
      <w:r w:rsidRPr="00BF4073">
        <w:rPr>
          <w:szCs w:val="16"/>
        </w:rPr>
        <w:t>u</w:t>
      </w:r>
      <w:r w:rsidRPr="00BF4073">
        <w:rPr>
          <w:szCs w:val="16"/>
        </w:rPr>
        <w:t xml:space="preserve">leur, de langue ou de coutumes, font basculer dans l'altérité, aux yeux de </w:t>
      </w:r>
      <w:r>
        <w:rPr>
          <w:szCs w:val="16"/>
        </w:rPr>
        <w:t>« </w:t>
      </w:r>
      <w:r w:rsidRPr="00BF4073">
        <w:rPr>
          <w:szCs w:val="16"/>
        </w:rPr>
        <w:t>ceux qui trouvent dans leurs racines territoriales ou culturelles des raisons de nature à rester entre soi</w:t>
      </w:r>
      <w:r>
        <w:rPr>
          <w:szCs w:val="16"/>
        </w:rPr>
        <w:t> » </w:t>
      </w:r>
      <w:r>
        <w:rPr>
          <w:rStyle w:val="Appelnotedebasdep"/>
          <w:szCs w:val="16"/>
        </w:rPr>
        <w:footnoteReference w:id="6"/>
      </w:r>
      <w:r w:rsidRPr="00BF4073">
        <w:rPr>
          <w:szCs w:val="16"/>
        </w:rPr>
        <w:t>.</w:t>
      </w:r>
    </w:p>
    <w:p w14:paraId="7A5543CF" w14:textId="77777777" w:rsidR="000407A5" w:rsidRPr="00BF4073" w:rsidRDefault="000407A5" w:rsidP="000407A5">
      <w:pPr>
        <w:spacing w:before="120"/>
        <w:jc w:val="both"/>
      </w:pPr>
      <w:r w:rsidRPr="00BF4073">
        <w:rPr>
          <w:szCs w:val="16"/>
        </w:rPr>
        <w:t>Denise Jodelet cherche à mettre à jour les processus communs qui sont à la base de cette mise à distance d'un groupe dominé. Ceux-ci tiennent de facteurs politiques, économiques et sociaux. Mais les r</w:t>
      </w:r>
      <w:r w:rsidRPr="00BF4073">
        <w:rPr>
          <w:szCs w:val="16"/>
        </w:rPr>
        <w:t>e</w:t>
      </w:r>
      <w:r w:rsidRPr="00BF4073">
        <w:rPr>
          <w:szCs w:val="16"/>
        </w:rPr>
        <w:t>présentations de ce qu'est l'altérité jouent aussi un rôle, au moins dans le renforcement de ces facteurs. C'est pourquoi trois types de que</w:t>
      </w:r>
      <w:r w:rsidRPr="00BF4073">
        <w:rPr>
          <w:szCs w:val="16"/>
        </w:rPr>
        <w:t>s</w:t>
      </w:r>
      <w:r w:rsidRPr="00BF4073">
        <w:rPr>
          <w:szCs w:val="16"/>
        </w:rPr>
        <w:t>tions  sont  au  départ de  son travail.</w:t>
      </w:r>
      <w:r>
        <w:rPr>
          <w:szCs w:val="16"/>
        </w:rPr>
        <w:t xml:space="preserve"> </w:t>
      </w:r>
      <w:r>
        <w:t xml:space="preserve">[155] </w:t>
      </w:r>
      <w:r w:rsidRPr="00BF4073">
        <w:rPr>
          <w:szCs w:val="16"/>
        </w:rPr>
        <w:t>Comment le malade me</w:t>
      </w:r>
      <w:r w:rsidRPr="00BF4073">
        <w:rPr>
          <w:szCs w:val="16"/>
        </w:rPr>
        <w:t>n</w:t>
      </w:r>
      <w:r w:rsidRPr="00BF4073">
        <w:rPr>
          <w:szCs w:val="16"/>
        </w:rPr>
        <w:t>tal est-il accueilli dans la société vill</w:t>
      </w:r>
      <w:r w:rsidRPr="00BF4073">
        <w:rPr>
          <w:szCs w:val="16"/>
        </w:rPr>
        <w:t>a</w:t>
      </w:r>
      <w:r w:rsidRPr="00BF4073">
        <w:rPr>
          <w:szCs w:val="16"/>
        </w:rPr>
        <w:t>geoise</w:t>
      </w:r>
      <w:r>
        <w:rPr>
          <w:szCs w:val="16"/>
        </w:rPr>
        <w:t> ?</w:t>
      </w:r>
      <w:r w:rsidRPr="00BF4073">
        <w:rPr>
          <w:szCs w:val="16"/>
        </w:rPr>
        <w:t xml:space="preserve"> Comment, dans la confrontation bredins-civils, fonctionnent les représentations soci</w:t>
      </w:r>
      <w:r w:rsidRPr="00BF4073">
        <w:rPr>
          <w:szCs w:val="16"/>
        </w:rPr>
        <w:t>a</w:t>
      </w:r>
      <w:r w:rsidRPr="00BF4073">
        <w:rPr>
          <w:szCs w:val="16"/>
        </w:rPr>
        <w:t>les</w:t>
      </w:r>
      <w:r>
        <w:rPr>
          <w:szCs w:val="16"/>
        </w:rPr>
        <w:t> ?</w:t>
      </w:r>
      <w:r w:rsidRPr="00BF4073">
        <w:rPr>
          <w:szCs w:val="16"/>
        </w:rPr>
        <w:t xml:space="preserve"> Comment se construit le rapport des civils à l'autre</w:t>
      </w:r>
      <w:r>
        <w:rPr>
          <w:szCs w:val="16"/>
        </w:rPr>
        <w:t> ?</w:t>
      </w:r>
      <w:r w:rsidRPr="00BF4073">
        <w:rPr>
          <w:szCs w:val="16"/>
        </w:rPr>
        <w:t xml:space="preserve"> La préocc</w:t>
      </w:r>
      <w:r w:rsidRPr="00BF4073">
        <w:rPr>
          <w:szCs w:val="16"/>
        </w:rPr>
        <w:t>u</w:t>
      </w:r>
      <w:r w:rsidRPr="00BF4073">
        <w:rPr>
          <w:szCs w:val="16"/>
        </w:rPr>
        <w:t>pation centrale de l'auteur est d'analyser en quoi les représentations sociales de la folie rendent compte du rapport au malade mental.</w:t>
      </w:r>
    </w:p>
    <w:p w14:paraId="3417555C" w14:textId="77777777" w:rsidR="000407A5" w:rsidRPr="00BF4073" w:rsidRDefault="000407A5" w:rsidP="000407A5">
      <w:pPr>
        <w:spacing w:before="120"/>
        <w:jc w:val="both"/>
      </w:pPr>
      <w:r w:rsidRPr="00BF4073">
        <w:rPr>
          <w:szCs w:val="16"/>
        </w:rPr>
        <w:t>Le fou est en effet porteur d'une altérité tout à fait particulière, pa</w:t>
      </w:r>
      <w:r w:rsidRPr="00BF4073">
        <w:rPr>
          <w:szCs w:val="16"/>
        </w:rPr>
        <w:t>r</w:t>
      </w:r>
      <w:r w:rsidRPr="00BF4073">
        <w:rPr>
          <w:szCs w:val="16"/>
        </w:rPr>
        <w:t>ce qu'il vient de l'intérieur de la société. Il n'est pas celui qui vient d'ailleurs, d'une autre culture, d'un autre monde, d'un autre milieu</w:t>
      </w:r>
      <w:r>
        <w:rPr>
          <w:szCs w:val="16"/>
        </w:rPr>
        <w:t> ;</w:t>
      </w:r>
      <w:r w:rsidRPr="00BF4073">
        <w:rPr>
          <w:szCs w:val="16"/>
        </w:rPr>
        <w:t xml:space="preserve"> l'altérité venant de Tailleurs questionne en effet l'image que nous avons de nous, l'identité du groupe. Le fou vient bien du dedans, de l'intérieur même de la société. C'est pourquoi l'étude du processus de mise en altérité du fou menée par Denise Jodelet est aussi instructive. L'altérité qui provient du dedans de la société trace en effet des lignes du partage social entre les groupes de ré</w:t>
      </w:r>
      <w:r>
        <w:rPr>
          <w:szCs w:val="16"/>
        </w:rPr>
        <w:t>férence légitimes et le (ou les</w:t>
      </w:r>
      <w:r w:rsidRPr="00BF4073">
        <w:rPr>
          <w:szCs w:val="16"/>
        </w:rPr>
        <w:t>) groupe autre(s) construit en négatif. Cela n'empêche pas les gens du village de considérer aussi, à certains moments, les fous comme un genre d'êtres humains, venus d'ailleurs, comme des intrus étrangers au village. Et, de fait, les bredins ne viennent-ils pas aussi d'ailleurs</w:t>
      </w:r>
      <w:r>
        <w:rPr>
          <w:szCs w:val="16"/>
        </w:rPr>
        <w:t> ?</w:t>
      </w:r>
      <w:r w:rsidRPr="00BF4073">
        <w:rPr>
          <w:szCs w:val="16"/>
        </w:rPr>
        <w:t xml:space="preserve"> Ne sont-ils pas tous extérieurs au village avant d'y être placés</w:t>
      </w:r>
      <w:r>
        <w:rPr>
          <w:szCs w:val="16"/>
        </w:rPr>
        <w:t> ?</w:t>
      </w:r>
      <w:r w:rsidRPr="00BF4073">
        <w:rPr>
          <w:szCs w:val="16"/>
        </w:rPr>
        <w:t xml:space="preserve"> N'ont-ils pas, à la manière de l'étranger de Simmel, comme caractéristiques d'être à la fois </w:t>
      </w:r>
      <w:r w:rsidRPr="00BF4073">
        <w:rPr>
          <w:i/>
          <w:iCs/>
          <w:szCs w:val="16"/>
        </w:rPr>
        <w:t xml:space="preserve">dans </w:t>
      </w:r>
      <w:r w:rsidRPr="00BF4073">
        <w:rPr>
          <w:szCs w:val="16"/>
        </w:rPr>
        <w:t xml:space="preserve">le groupe villageois et en même temps d'être en </w:t>
      </w:r>
      <w:r>
        <w:rPr>
          <w:szCs w:val="16"/>
        </w:rPr>
        <w:t>« </w:t>
      </w:r>
      <w:r w:rsidRPr="00BF4073">
        <w:rPr>
          <w:szCs w:val="16"/>
        </w:rPr>
        <w:t>extériorité</w:t>
      </w:r>
      <w:r>
        <w:rPr>
          <w:szCs w:val="16"/>
        </w:rPr>
        <w:t> »</w:t>
      </w:r>
      <w:r w:rsidRPr="00BF4073">
        <w:rPr>
          <w:szCs w:val="16"/>
        </w:rPr>
        <w:t xml:space="preserve"> et en </w:t>
      </w:r>
      <w:r>
        <w:rPr>
          <w:szCs w:val="16"/>
        </w:rPr>
        <w:t>« </w:t>
      </w:r>
      <w:r w:rsidRPr="00BF4073">
        <w:rPr>
          <w:szCs w:val="16"/>
        </w:rPr>
        <w:t>opposition</w:t>
      </w:r>
      <w:r>
        <w:rPr>
          <w:szCs w:val="16"/>
        </w:rPr>
        <w:t> » ?</w:t>
      </w:r>
    </w:p>
    <w:p w14:paraId="7E327951" w14:textId="77777777" w:rsidR="000407A5" w:rsidRPr="00BF4073" w:rsidRDefault="000407A5" w:rsidP="000407A5">
      <w:pPr>
        <w:spacing w:before="120"/>
        <w:jc w:val="both"/>
      </w:pPr>
      <w:r w:rsidRPr="00BF4073">
        <w:rPr>
          <w:szCs w:val="16"/>
        </w:rPr>
        <w:t>Pour les villageois, les fous se fondent dans les habitudes sociales, les routines, ils prennent une couleur de banalité. D'autant plus que la proximité civils-bredins est ancienne, car l'expérience de placement des malades mentaux auprès de familles nourricières dure depuis pl</w:t>
      </w:r>
      <w:r w:rsidRPr="00BF4073">
        <w:rPr>
          <w:szCs w:val="16"/>
        </w:rPr>
        <w:t>u</w:t>
      </w:r>
      <w:r w:rsidRPr="00BF4073">
        <w:rPr>
          <w:szCs w:val="16"/>
        </w:rPr>
        <w:t>sieurs décennies. Pour approcher les malades, pour se les approprier, les habitants du village les font participer à leur univers, ils se les r</w:t>
      </w:r>
      <w:r w:rsidRPr="00BF4073">
        <w:rPr>
          <w:szCs w:val="16"/>
        </w:rPr>
        <w:t>e</w:t>
      </w:r>
      <w:r w:rsidRPr="00BF4073">
        <w:rPr>
          <w:szCs w:val="16"/>
        </w:rPr>
        <w:t>présentent distribués dans des catégories, des</w:t>
      </w:r>
      <w:r>
        <w:rPr>
          <w:szCs w:val="16"/>
        </w:rPr>
        <w:t xml:space="preserve"> </w:t>
      </w:r>
      <w:r w:rsidRPr="00BF4073">
        <w:rPr>
          <w:szCs w:val="16"/>
        </w:rPr>
        <w:t>classes, créées pour eux, mais provenant de l'univers villageois. D'étrangers, ils deviennent ai</w:t>
      </w:r>
      <w:r w:rsidRPr="00BF4073">
        <w:rPr>
          <w:szCs w:val="16"/>
        </w:rPr>
        <w:t>n</w:t>
      </w:r>
      <w:r w:rsidRPr="00BF4073">
        <w:rPr>
          <w:szCs w:val="16"/>
        </w:rPr>
        <w:t xml:space="preserve">si des figures </w:t>
      </w:r>
      <w:r w:rsidRPr="00BF4073">
        <w:rPr>
          <w:i/>
          <w:iCs/>
          <w:szCs w:val="16"/>
        </w:rPr>
        <w:t xml:space="preserve">familières </w:t>
      </w:r>
      <w:r w:rsidRPr="00BF4073">
        <w:rPr>
          <w:szCs w:val="16"/>
        </w:rPr>
        <w:t>ayant leur place, revêtues d'habillements me</w:t>
      </w:r>
      <w:r w:rsidRPr="00BF4073">
        <w:rPr>
          <w:szCs w:val="16"/>
        </w:rPr>
        <w:t>n</w:t>
      </w:r>
      <w:r w:rsidRPr="00BF4073">
        <w:rPr>
          <w:szCs w:val="16"/>
        </w:rPr>
        <w:t xml:space="preserve">taux </w:t>
      </w:r>
      <w:r w:rsidRPr="00BF4073">
        <w:rPr>
          <w:i/>
          <w:iCs/>
          <w:szCs w:val="16"/>
        </w:rPr>
        <w:t xml:space="preserve">conformes. </w:t>
      </w:r>
      <w:r w:rsidRPr="00BF4073">
        <w:rPr>
          <w:szCs w:val="16"/>
        </w:rPr>
        <w:t xml:space="preserve">Serge Moscovici, dans la préface au livre de Denise Jodelet note que le </w:t>
      </w:r>
      <w:r w:rsidRPr="00BF4073">
        <w:rPr>
          <w:i/>
          <w:iCs/>
          <w:szCs w:val="16"/>
        </w:rPr>
        <w:t xml:space="preserve">routinier, </w:t>
      </w:r>
      <w:r w:rsidRPr="00BF4073">
        <w:rPr>
          <w:szCs w:val="16"/>
        </w:rPr>
        <w:t>le culturellement opaque, devient un fa</w:t>
      </w:r>
      <w:r w:rsidRPr="00BF4073">
        <w:rPr>
          <w:szCs w:val="16"/>
        </w:rPr>
        <w:t>c</w:t>
      </w:r>
      <w:r w:rsidRPr="00BF4073">
        <w:rPr>
          <w:szCs w:val="16"/>
        </w:rPr>
        <w:t>teur éclairant la genèse inape</w:t>
      </w:r>
      <w:r w:rsidRPr="00BF4073">
        <w:rPr>
          <w:szCs w:val="16"/>
        </w:rPr>
        <w:t>r</w:t>
      </w:r>
      <w:r w:rsidRPr="00BF4073">
        <w:rPr>
          <w:szCs w:val="16"/>
        </w:rPr>
        <w:t>çue des représentations sociales</w:t>
      </w:r>
      <w:r>
        <w:rPr>
          <w:szCs w:val="16"/>
        </w:rPr>
        <w:t> :</w:t>
      </w:r>
      <w:r w:rsidRPr="00BF4073">
        <w:rPr>
          <w:szCs w:val="16"/>
        </w:rPr>
        <w:t xml:space="preserve"> </w:t>
      </w:r>
      <w:r>
        <w:rPr>
          <w:szCs w:val="16"/>
        </w:rPr>
        <w:t>« </w:t>
      </w:r>
      <w:r w:rsidRPr="00BF4073">
        <w:rPr>
          <w:szCs w:val="16"/>
        </w:rPr>
        <w:t>toute représentation tend, en dernière instance, à une autorité et (...) parv</w:t>
      </w:r>
      <w:r w:rsidRPr="00BF4073">
        <w:rPr>
          <w:szCs w:val="16"/>
        </w:rPr>
        <w:t>e</w:t>
      </w:r>
      <w:r w:rsidRPr="00BF4073">
        <w:rPr>
          <w:szCs w:val="16"/>
        </w:rPr>
        <w:t>nue à son faîte, la pensée collective n'est rien d'autre qu'une banalité.</w:t>
      </w:r>
      <w:r>
        <w:rPr>
          <w:szCs w:val="16"/>
        </w:rPr>
        <w:t> »</w:t>
      </w:r>
      <w:r w:rsidRPr="00BF4073">
        <w:rPr>
          <w:szCs w:val="16"/>
        </w:rPr>
        <w:t xml:space="preserve"> Denise Jodelet met en évidence deux taxinomies indigènes</w:t>
      </w:r>
      <w:r>
        <w:rPr>
          <w:szCs w:val="16"/>
        </w:rPr>
        <w:t> :</w:t>
      </w:r>
      <w:r w:rsidRPr="00BF4073">
        <w:rPr>
          <w:szCs w:val="16"/>
        </w:rPr>
        <w:t xml:space="preserve"> l'une de</w:t>
      </w:r>
      <w:r w:rsidRPr="00BF4073">
        <w:rPr>
          <w:szCs w:val="16"/>
        </w:rPr>
        <w:t>s</w:t>
      </w:r>
      <w:r w:rsidRPr="00BF4073">
        <w:rPr>
          <w:szCs w:val="16"/>
        </w:rPr>
        <w:t>criptive plutôt de type diagnostique qui permet aux habitants de di</w:t>
      </w:r>
      <w:r w:rsidRPr="00BF4073">
        <w:rPr>
          <w:szCs w:val="16"/>
        </w:rPr>
        <w:t>s</w:t>
      </w:r>
      <w:r w:rsidRPr="00BF4073">
        <w:rPr>
          <w:szCs w:val="16"/>
        </w:rPr>
        <w:t>tinguer les différents t</w:t>
      </w:r>
      <w:r w:rsidRPr="00BF4073">
        <w:rPr>
          <w:szCs w:val="16"/>
        </w:rPr>
        <w:t>y</w:t>
      </w:r>
      <w:r w:rsidRPr="00BF4073">
        <w:rPr>
          <w:szCs w:val="16"/>
        </w:rPr>
        <w:t>pes de malades mentaux. L'autre classement, par contre, incluant les habitants eux-mêmes, introduit une hiérarchie entre les individus et les groupes. Ce classement normatif permet ou prohibe telle ou telle relation. Moscovici qualifie ce second class</w:t>
      </w:r>
      <w:r w:rsidRPr="00BF4073">
        <w:rPr>
          <w:szCs w:val="16"/>
        </w:rPr>
        <w:t>e</w:t>
      </w:r>
      <w:r w:rsidRPr="00BF4073">
        <w:rPr>
          <w:szCs w:val="16"/>
        </w:rPr>
        <w:t xml:space="preserve">ment de </w:t>
      </w:r>
      <w:r>
        <w:rPr>
          <w:szCs w:val="16"/>
        </w:rPr>
        <w:t>« </w:t>
      </w:r>
      <w:r w:rsidRPr="00BF4073">
        <w:rPr>
          <w:szCs w:val="16"/>
        </w:rPr>
        <w:t>prescriptif</w:t>
      </w:r>
      <w:r>
        <w:rPr>
          <w:szCs w:val="16"/>
        </w:rPr>
        <w:t> »</w:t>
      </w:r>
      <w:r w:rsidRPr="00BF4073">
        <w:rPr>
          <w:szCs w:val="16"/>
        </w:rPr>
        <w:t>. C'est un classement irréversible dans la mes</w:t>
      </w:r>
      <w:r w:rsidRPr="00BF4073">
        <w:rPr>
          <w:szCs w:val="16"/>
        </w:rPr>
        <w:t>u</w:t>
      </w:r>
      <w:r w:rsidRPr="00BF4073">
        <w:rPr>
          <w:szCs w:val="16"/>
        </w:rPr>
        <w:t xml:space="preserve">re où il </w:t>
      </w:r>
      <w:r>
        <w:rPr>
          <w:szCs w:val="16"/>
        </w:rPr>
        <w:t>« </w:t>
      </w:r>
      <w:r w:rsidRPr="00BF4073">
        <w:rPr>
          <w:szCs w:val="16"/>
        </w:rPr>
        <w:t>définit le statut des individus au sein du groupe, mais aussi le statut du groupe au sein des individus</w:t>
      </w:r>
      <w:r>
        <w:rPr>
          <w:szCs w:val="16"/>
        </w:rPr>
        <w:t> »</w:t>
      </w:r>
      <w:r w:rsidRPr="00BF4073">
        <w:rPr>
          <w:szCs w:val="16"/>
        </w:rPr>
        <w:t>.</w:t>
      </w:r>
    </w:p>
    <w:p w14:paraId="716522E4" w14:textId="77777777" w:rsidR="000407A5" w:rsidRPr="00BF4073" w:rsidRDefault="000407A5" w:rsidP="000407A5">
      <w:pPr>
        <w:spacing w:before="120"/>
        <w:jc w:val="both"/>
      </w:pPr>
      <w:r w:rsidRPr="00BF4073">
        <w:rPr>
          <w:szCs w:val="16"/>
        </w:rPr>
        <w:t xml:space="preserve">Denise Jodelet met à jour durant son enquête toute une série de pratiques, de rites, visant tous à prémunir les civils des contacts avec les bredins. Nous savons depuis Durkheim que ces </w:t>
      </w:r>
      <w:r>
        <w:rPr>
          <w:szCs w:val="16"/>
        </w:rPr>
        <w:t>« </w:t>
      </w:r>
      <w:r w:rsidRPr="00BF4073">
        <w:rPr>
          <w:szCs w:val="16"/>
        </w:rPr>
        <w:t>actes négatifs</w:t>
      </w:r>
      <w:r>
        <w:rPr>
          <w:szCs w:val="16"/>
        </w:rPr>
        <w:t> »</w:t>
      </w:r>
      <w:r w:rsidRPr="00BF4073">
        <w:rPr>
          <w:szCs w:val="16"/>
        </w:rPr>
        <w:t xml:space="preserve"> ont </w:t>
      </w:r>
      <w:r>
        <w:rPr>
          <w:szCs w:val="16"/>
        </w:rPr>
        <w:t>« </w:t>
      </w:r>
      <w:r w:rsidRPr="00BF4073">
        <w:rPr>
          <w:szCs w:val="16"/>
        </w:rPr>
        <w:t>pour fonction de prévenir les mélanges et les rapprochements indus</w:t>
      </w:r>
      <w:r>
        <w:rPr>
          <w:szCs w:val="16"/>
        </w:rPr>
        <w:t> » </w:t>
      </w:r>
      <w:r>
        <w:rPr>
          <w:rStyle w:val="Appelnotedebasdep"/>
          <w:szCs w:val="16"/>
        </w:rPr>
        <w:footnoteReference w:id="7"/>
      </w:r>
      <w:r w:rsidRPr="00BF4073">
        <w:rPr>
          <w:szCs w:val="16"/>
        </w:rPr>
        <w:t>. Les contacts prohibés sont d'une part les contacts physiques, mais aussi les relations amicales. Le linge des malades est lavé sép</w:t>
      </w:r>
      <w:r w:rsidRPr="00BF4073">
        <w:rPr>
          <w:szCs w:val="16"/>
        </w:rPr>
        <w:t>a</w:t>
      </w:r>
      <w:r w:rsidRPr="00BF4073">
        <w:rPr>
          <w:szCs w:val="16"/>
        </w:rPr>
        <w:t>rément et leur vaisselle n'est pas mêlée à celle des autres habitants de la maison. Ces rites négatifs ont donc pour fonction d'éviter la prox</w:t>
      </w:r>
      <w:r w:rsidRPr="00BF4073">
        <w:rPr>
          <w:szCs w:val="16"/>
        </w:rPr>
        <w:t>i</w:t>
      </w:r>
      <w:r w:rsidRPr="00BF4073">
        <w:rPr>
          <w:szCs w:val="16"/>
        </w:rPr>
        <w:t xml:space="preserve">mité avec des personnes considérées comme impures sous peine de le devenir soi-même. Ces rites doivent protéger d'un risque, à savoir la contagion supposée de la maladie mentale. Denise Jodelet qualifie de </w:t>
      </w:r>
      <w:r>
        <w:rPr>
          <w:szCs w:val="16"/>
        </w:rPr>
        <w:t>« </w:t>
      </w:r>
      <w:r w:rsidRPr="00BF4073">
        <w:rPr>
          <w:szCs w:val="16"/>
        </w:rPr>
        <w:t>signifiantes</w:t>
      </w:r>
      <w:r>
        <w:rPr>
          <w:szCs w:val="16"/>
        </w:rPr>
        <w:t> »</w:t>
      </w:r>
      <w:r w:rsidRPr="00BF4073">
        <w:rPr>
          <w:szCs w:val="16"/>
        </w:rPr>
        <w:t xml:space="preserve"> ces pratiques mises à jour, découla</w:t>
      </w:r>
      <w:r>
        <w:rPr>
          <w:szCs w:val="16"/>
        </w:rPr>
        <w:t>nt des croyances communes parta</w:t>
      </w:r>
      <w:r w:rsidRPr="00BF4073">
        <w:rPr>
          <w:szCs w:val="16"/>
        </w:rPr>
        <w:t>gées par tous</w:t>
      </w:r>
      <w:r>
        <w:rPr>
          <w:szCs w:val="16"/>
        </w:rPr>
        <w:t> :</w:t>
      </w:r>
      <w:r w:rsidRPr="00BF4073">
        <w:rPr>
          <w:szCs w:val="16"/>
        </w:rPr>
        <w:t xml:space="preserve"> les femmes qui séparent le linge des bredins ou qui ne mélangent pas la vaisselle se comportent comme si l'idée de sép</w:t>
      </w:r>
      <w:r w:rsidRPr="00BF4073">
        <w:rPr>
          <w:szCs w:val="16"/>
        </w:rPr>
        <w:t>a</w:t>
      </w:r>
      <w:r w:rsidRPr="00BF4073">
        <w:rPr>
          <w:szCs w:val="16"/>
        </w:rPr>
        <w:t>ration allait de soi, comme si un consensus existait à ce sujet.</w:t>
      </w:r>
    </w:p>
    <w:p w14:paraId="4FF87871" w14:textId="77777777" w:rsidR="000407A5" w:rsidRDefault="000407A5" w:rsidP="000407A5">
      <w:pPr>
        <w:spacing w:before="120"/>
        <w:jc w:val="both"/>
        <w:rPr>
          <w:szCs w:val="16"/>
        </w:rPr>
      </w:pPr>
      <w:r w:rsidRPr="00BF4073">
        <w:rPr>
          <w:szCs w:val="16"/>
        </w:rPr>
        <w:t xml:space="preserve">Cette phobie du contact est liée à la crainte d'être contaminés, de devenir comme les bredins absolument </w:t>
      </w:r>
      <w:r>
        <w:rPr>
          <w:szCs w:val="16"/>
        </w:rPr>
        <w:t>« </w:t>
      </w:r>
      <w:r w:rsidRPr="00BF4073">
        <w:rPr>
          <w:szCs w:val="16"/>
        </w:rPr>
        <w:t>autres</w:t>
      </w:r>
      <w:r>
        <w:rPr>
          <w:szCs w:val="16"/>
        </w:rPr>
        <w:t> »</w:t>
      </w:r>
      <w:r w:rsidRPr="00BF4073">
        <w:rPr>
          <w:szCs w:val="16"/>
        </w:rPr>
        <w:t>. Ce rituel domest</w:t>
      </w:r>
      <w:r w:rsidRPr="00BF4073">
        <w:rPr>
          <w:szCs w:val="16"/>
        </w:rPr>
        <w:t>i</w:t>
      </w:r>
      <w:r w:rsidRPr="00BF4073">
        <w:rPr>
          <w:szCs w:val="16"/>
        </w:rPr>
        <w:t>que de séparation permet ainsi aux habitants du village d'agir dans la maison en fonction de ces peurs. Dès lors une barrière, une frontière absolue est tracée qui permet de prolonger dans le monde domestique les ségrégations diffuses existant déjà dans la commune. Par exemple, les bredins sont mis à l'écart des jeux de cartes au bistrot</w:t>
      </w:r>
      <w:r>
        <w:rPr>
          <w:szCs w:val="16"/>
        </w:rPr>
        <w:t> ;</w:t>
      </w:r>
      <w:r w:rsidRPr="00BF4073">
        <w:rPr>
          <w:szCs w:val="16"/>
        </w:rPr>
        <w:t xml:space="preserve"> lors des bals publics, un système social de protection, complexe mais efficace, est instauré face aux </w:t>
      </w:r>
      <w:r>
        <w:rPr>
          <w:szCs w:val="16"/>
        </w:rPr>
        <w:t>« </w:t>
      </w:r>
      <w:r w:rsidRPr="00BF4073">
        <w:rPr>
          <w:szCs w:val="16"/>
        </w:rPr>
        <w:t>risques du sexe</w:t>
      </w:r>
      <w:r>
        <w:rPr>
          <w:szCs w:val="16"/>
        </w:rPr>
        <w:t> »</w:t>
      </w:r>
      <w:r w:rsidRPr="00BF4073">
        <w:rPr>
          <w:szCs w:val="16"/>
        </w:rPr>
        <w:t>. Le mélange sexuel est pou</w:t>
      </w:r>
      <w:r w:rsidRPr="00BF4073">
        <w:rPr>
          <w:szCs w:val="16"/>
        </w:rPr>
        <w:t>r</w:t>
      </w:r>
      <w:r w:rsidRPr="00BF4073">
        <w:rPr>
          <w:szCs w:val="16"/>
        </w:rPr>
        <w:t>tant, de fait, toléré, quoique assez rare, à condition de rester officieux. L'enjeu est l'interdiction du mariage. Cette dernière vise clairement le maintien de la hiérarchie sociale. Le risque social majeur est en effet celui d'une indifférenciation effective, légalisée, dont les conséque</w:t>
      </w:r>
      <w:r w:rsidRPr="00BF4073">
        <w:rPr>
          <w:szCs w:val="16"/>
        </w:rPr>
        <w:t>n</w:t>
      </w:r>
      <w:r w:rsidRPr="00BF4073">
        <w:rPr>
          <w:szCs w:val="16"/>
        </w:rPr>
        <w:t>ces seraient catastrophiques pour l'image et l'identité du groupe. Le bredin devenu civil est en quelque sorte l'étranger impur rehaussé au rang de citoyen. Celui-ci aurait la possibilité de dire à tout moment sa double identité sociale de civil et de bredin. Cette crainte alimente l'anxiété du groupe qui pour se préserver organise ouvertement l'e</w:t>
      </w:r>
      <w:r w:rsidRPr="00BF4073">
        <w:rPr>
          <w:szCs w:val="16"/>
        </w:rPr>
        <w:t>x</w:t>
      </w:r>
      <w:r w:rsidRPr="00BF4073">
        <w:rPr>
          <w:szCs w:val="16"/>
        </w:rPr>
        <w:t>clusion des malades de toute sphère sociale légitime. Une obligation de distance sociale</w:t>
      </w:r>
      <w:r>
        <w:rPr>
          <w:szCs w:val="16"/>
        </w:rPr>
        <w:t> </w:t>
      </w:r>
      <w:r>
        <w:rPr>
          <w:rStyle w:val="Appelnotedebasdep"/>
          <w:szCs w:val="16"/>
        </w:rPr>
        <w:footnoteReference w:id="8"/>
      </w:r>
      <w:r w:rsidRPr="00BF4073">
        <w:rPr>
          <w:szCs w:val="16"/>
        </w:rPr>
        <w:t xml:space="preserve"> s'impose ainsi de façon d'autant plus intense et obsessionnelle que la distance physique est plus petite entre pensio</w:t>
      </w:r>
      <w:r w:rsidRPr="00BF4073">
        <w:rPr>
          <w:szCs w:val="16"/>
        </w:rPr>
        <w:t>n</w:t>
      </w:r>
      <w:r w:rsidRPr="00BF4073">
        <w:rPr>
          <w:szCs w:val="16"/>
        </w:rPr>
        <w:t>naires et villageois nourriciers. Les rites négatifs servent en outre à la communauté villageoise de mémoire et d'avertissement, ils permettent de canaliser la peur, la peur de l'autre. Ils désignent cet autre dont il faut se protéger et les dangers qu'il fait courir. Ils fondent le danger d'intrusion sur celui</w:t>
      </w:r>
      <w:r>
        <w:rPr>
          <w:szCs w:val="16"/>
        </w:rPr>
        <w:t xml:space="preserve"> </w:t>
      </w:r>
      <w:r>
        <w:t xml:space="preserve">[156] </w:t>
      </w:r>
      <w:r w:rsidRPr="00BF4073">
        <w:rPr>
          <w:szCs w:val="16"/>
        </w:rPr>
        <w:t>de contamination, de souillure</w:t>
      </w:r>
      <w:r>
        <w:rPr>
          <w:szCs w:val="16"/>
        </w:rPr>
        <w:t> </w:t>
      </w:r>
      <w:r>
        <w:rPr>
          <w:rStyle w:val="Appelnotedebasdep"/>
          <w:szCs w:val="16"/>
        </w:rPr>
        <w:footnoteReference w:id="9"/>
      </w:r>
      <w:r w:rsidRPr="00BF4073">
        <w:rPr>
          <w:szCs w:val="16"/>
        </w:rPr>
        <w:t>. La lecture du livre de Denise J</w:t>
      </w:r>
      <w:r w:rsidRPr="00BF4073">
        <w:rPr>
          <w:szCs w:val="16"/>
        </w:rPr>
        <w:t>o</w:t>
      </w:r>
      <w:r w:rsidRPr="00BF4073">
        <w:rPr>
          <w:szCs w:val="16"/>
        </w:rPr>
        <w:t>delet nous montre que les malades placés au sein des familles sont tout de même maintenus à l'écart. Finalement, au malade comme à l'immigré s'offre un même destin, la relégation aux marges de la sphère s</w:t>
      </w:r>
      <w:r w:rsidRPr="00BF4073">
        <w:rPr>
          <w:szCs w:val="16"/>
        </w:rPr>
        <w:t>o</w:t>
      </w:r>
      <w:r w:rsidRPr="00BF4073">
        <w:rPr>
          <w:szCs w:val="16"/>
        </w:rPr>
        <w:t>ciale reconnue pour cause d'impureté sociale.</w:t>
      </w:r>
    </w:p>
    <w:p w14:paraId="0A316B62" w14:textId="77777777" w:rsidR="000407A5" w:rsidRPr="00BF4073" w:rsidRDefault="000407A5" w:rsidP="000407A5">
      <w:pPr>
        <w:spacing w:before="120"/>
        <w:jc w:val="both"/>
      </w:pPr>
      <w:r>
        <w:br w:type="page"/>
      </w:r>
    </w:p>
    <w:p w14:paraId="24F14A65" w14:textId="77777777" w:rsidR="000407A5" w:rsidRPr="00BF4073" w:rsidRDefault="000407A5" w:rsidP="000407A5">
      <w:pPr>
        <w:pStyle w:val="figtitrest"/>
      </w:pPr>
      <w:r w:rsidRPr="00BF4073">
        <w:t xml:space="preserve">Zuzana Jaczova, Cariatide des Carpathes. L'être sur 4 baguettes </w:t>
      </w:r>
      <w:r>
        <w:br/>
      </w:r>
      <w:r w:rsidRPr="00BF4073">
        <w:t>(Sculpture en grès)</w:t>
      </w:r>
    </w:p>
    <w:p w14:paraId="57BFDC95" w14:textId="77777777" w:rsidR="000407A5" w:rsidRDefault="00E26D64" w:rsidP="000407A5">
      <w:pPr>
        <w:pStyle w:val="fig"/>
      </w:pPr>
      <w:r>
        <w:rPr>
          <w:noProof/>
        </w:rPr>
        <w:drawing>
          <wp:inline distT="0" distB="0" distL="0" distR="0" wp14:anchorId="73F2ED91" wp14:editId="4990C125">
            <wp:extent cx="2184400" cy="5016500"/>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84400" cy="5016500"/>
                    </a:xfrm>
                    <a:prstGeom prst="rect">
                      <a:avLst/>
                    </a:prstGeom>
                    <a:noFill/>
                    <a:ln>
                      <a:noFill/>
                    </a:ln>
                  </pic:spPr>
                </pic:pic>
              </a:graphicData>
            </a:graphic>
          </wp:inline>
        </w:drawing>
      </w:r>
    </w:p>
    <w:p w14:paraId="767E1C70" w14:textId="77777777" w:rsidR="000407A5" w:rsidRPr="00BF4073" w:rsidRDefault="000407A5" w:rsidP="000407A5">
      <w:pPr>
        <w:spacing w:before="120"/>
        <w:jc w:val="both"/>
      </w:pPr>
      <w:r w:rsidRPr="00BF4073">
        <w:br w:type="column"/>
      </w:r>
      <w:r w:rsidRPr="00BF4073">
        <w:rPr>
          <w:szCs w:val="16"/>
        </w:rPr>
        <w:t xml:space="preserve">Le placement des malades mentaux qui, au départ, devait permettre de suspendre le </w:t>
      </w:r>
      <w:r>
        <w:rPr>
          <w:szCs w:val="16"/>
        </w:rPr>
        <w:t>« </w:t>
      </w:r>
      <w:r w:rsidRPr="00BF4073">
        <w:rPr>
          <w:szCs w:val="16"/>
        </w:rPr>
        <w:t>grand enfermement</w:t>
      </w:r>
      <w:r>
        <w:rPr>
          <w:szCs w:val="16"/>
        </w:rPr>
        <w:t> »</w:t>
      </w:r>
      <w:r w:rsidRPr="00BF4073">
        <w:rPr>
          <w:szCs w:val="16"/>
        </w:rPr>
        <w:t xml:space="preserve"> des malades (Foucault) aboutit à ce que chaque maison les enferme, et devienne une sorte d'asile. De physique l'enfermement devient symbolique. Denise Jodelet souligne à quel point le regard des villageois chez qui les malades sont placés, les nourriciers, est un regard pesant. Il est plus difficile à supporter que celui de l'infirmier ou celui du psychiatre, car ce regard n'est pas un regard médical, en principe exempt de jugement moral, mais, au contraire, un regard exclusivement moral, un regard social. La viole</w:t>
      </w:r>
      <w:r w:rsidRPr="00BF4073">
        <w:rPr>
          <w:szCs w:val="16"/>
        </w:rPr>
        <w:t>n</w:t>
      </w:r>
      <w:r w:rsidRPr="00BF4073">
        <w:rPr>
          <w:szCs w:val="16"/>
        </w:rPr>
        <w:t xml:space="preserve">ce symbolique découlant de ce jugement social a pour effet d'isoler davantage encore le malade mental porteur de l'altérité et maintenu à la lisière de la communauté villageoise. L'autre n'est pas traité en soi, porteur de singularité, mais exclusivement en tant que </w:t>
      </w:r>
      <w:r>
        <w:rPr>
          <w:szCs w:val="16"/>
        </w:rPr>
        <w:t>« </w:t>
      </w:r>
      <w:r w:rsidRPr="00BF4073">
        <w:rPr>
          <w:szCs w:val="16"/>
        </w:rPr>
        <w:t>type partic</w:t>
      </w:r>
      <w:r w:rsidRPr="00BF4073">
        <w:rPr>
          <w:szCs w:val="16"/>
        </w:rPr>
        <w:t>u</w:t>
      </w:r>
      <w:r w:rsidRPr="00BF4073">
        <w:rPr>
          <w:szCs w:val="16"/>
        </w:rPr>
        <w:t>lier social abstrait</w:t>
      </w:r>
      <w:r>
        <w:rPr>
          <w:szCs w:val="16"/>
        </w:rPr>
        <w:t> »</w:t>
      </w:r>
      <w:r w:rsidRPr="00BF4073">
        <w:rPr>
          <w:szCs w:val="16"/>
        </w:rPr>
        <w:t>, par rapport aux classements indigènes.</w:t>
      </w:r>
    </w:p>
    <w:p w14:paraId="5F15EC7F" w14:textId="77777777" w:rsidR="000407A5" w:rsidRPr="00BF4073" w:rsidRDefault="000407A5" w:rsidP="000407A5">
      <w:pPr>
        <w:spacing w:before="120"/>
        <w:jc w:val="both"/>
      </w:pPr>
      <w:r w:rsidRPr="00BF4073">
        <w:rPr>
          <w:szCs w:val="16"/>
        </w:rPr>
        <w:t>Le mythe de la pureté et la phobie de la contamination peuvent aussi être réactivés par l'utilisation politique d'une</w:t>
      </w:r>
      <w:r>
        <w:rPr>
          <w:szCs w:val="16"/>
        </w:rPr>
        <w:t xml:space="preserve"> </w:t>
      </w:r>
      <w:r w:rsidRPr="00BF4073">
        <w:rPr>
          <w:szCs w:val="16"/>
        </w:rPr>
        <w:t>épidémie comme hier la syphilis ou de nos jours le sida</w:t>
      </w:r>
      <w:r>
        <w:rPr>
          <w:szCs w:val="16"/>
        </w:rPr>
        <w:t> </w:t>
      </w:r>
      <w:r>
        <w:rPr>
          <w:rStyle w:val="Appelnotedebasdep"/>
          <w:szCs w:val="16"/>
        </w:rPr>
        <w:footnoteReference w:id="10"/>
      </w:r>
      <w:r w:rsidRPr="00BF4073">
        <w:rPr>
          <w:szCs w:val="16"/>
        </w:rPr>
        <w:t>. L'absence de fondement m</w:t>
      </w:r>
      <w:r w:rsidRPr="00BF4073">
        <w:rPr>
          <w:szCs w:val="16"/>
        </w:rPr>
        <w:t>é</w:t>
      </w:r>
      <w:r w:rsidRPr="00BF4073">
        <w:rPr>
          <w:szCs w:val="16"/>
        </w:rPr>
        <w:t>dical à la campagne menée par le Front nati</w:t>
      </w:r>
      <w:r w:rsidRPr="00BF4073">
        <w:rPr>
          <w:szCs w:val="16"/>
        </w:rPr>
        <w:t>o</w:t>
      </w:r>
      <w:r w:rsidRPr="00BF4073">
        <w:rPr>
          <w:szCs w:val="16"/>
        </w:rPr>
        <w:t>nal sur le thème de la transmission du sida par la sueur, les larmes ou la salive n'a pas été un obstacle à la diffusion d'idées fausses comme en témoignent diverses enquêtes sociologiques</w:t>
      </w:r>
      <w:r>
        <w:rPr>
          <w:szCs w:val="16"/>
        </w:rPr>
        <w:t> </w:t>
      </w:r>
      <w:r>
        <w:rPr>
          <w:rStyle w:val="Appelnotedebasdep"/>
          <w:szCs w:val="16"/>
        </w:rPr>
        <w:footnoteReference w:id="11"/>
      </w:r>
      <w:r w:rsidRPr="00BF4073">
        <w:rPr>
          <w:szCs w:val="16"/>
        </w:rPr>
        <w:t>. La fantasmatique de la contagion par les liquides du corps a, dans cet exemple, été délib</w:t>
      </w:r>
      <w:r w:rsidRPr="00BF4073">
        <w:rPr>
          <w:szCs w:val="16"/>
        </w:rPr>
        <w:t>é</w:t>
      </w:r>
      <w:r w:rsidRPr="00BF4073">
        <w:rPr>
          <w:szCs w:val="16"/>
        </w:rPr>
        <w:t>rément réactivée pour favoriser le développement d'une thématique de l'exclusion, du rejet</w:t>
      </w:r>
      <w:r>
        <w:rPr>
          <w:szCs w:val="16"/>
        </w:rPr>
        <w:t> :</w:t>
      </w:r>
      <w:r w:rsidRPr="00BF4073">
        <w:rPr>
          <w:szCs w:val="16"/>
        </w:rPr>
        <w:t xml:space="preserve"> l'enfermement des malades dans des </w:t>
      </w:r>
      <w:r>
        <w:rPr>
          <w:szCs w:val="16"/>
        </w:rPr>
        <w:t>« </w:t>
      </w:r>
      <w:r w:rsidRPr="00BF4073">
        <w:rPr>
          <w:szCs w:val="16"/>
        </w:rPr>
        <w:t>sida-toriums</w:t>
      </w:r>
      <w:r>
        <w:rPr>
          <w:szCs w:val="16"/>
        </w:rPr>
        <w:t> »</w:t>
      </w:r>
      <w:r w:rsidRPr="00BF4073">
        <w:rPr>
          <w:szCs w:val="16"/>
        </w:rPr>
        <w:t xml:space="preserve"> est préconisé à priori comme seule solution pour faire face à l'extension de la mal</w:t>
      </w:r>
      <w:r w:rsidRPr="00BF4073">
        <w:rPr>
          <w:szCs w:val="16"/>
        </w:rPr>
        <w:t>a</w:t>
      </w:r>
      <w:r w:rsidRPr="00BF4073">
        <w:rPr>
          <w:szCs w:val="16"/>
        </w:rPr>
        <w:t>die. Mais si cette fantasmatique a une emprise réelle sur certains groupes sociaux, c'est aussi parce qu'elle entre en résonance avec la pensée magique, telle qu'elle a été analysée par H</w:t>
      </w:r>
      <w:r w:rsidRPr="00BF4073">
        <w:rPr>
          <w:szCs w:val="16"/>
        </w:rPr>
        <w:t>u</w:t>
      </w:r>
      <w:r w:rsidRPr="00BF4073">
        <w:rPr>
          <w:szCs w:val="16"/>
        </w:rPr>
        <w:t>bert et Mauss</w:t>
      </w:r>
      <w:r>
        <w:rPr>
          <w:szCs w:val="16"/>
        </w:rPr>
        <w:t> </w:t>
      </w:r>
      <w:r>
        <w:rPr>
          <w:rStyle w:val="Appelnotedebasdep"/>
          <w:szCs w:val="16"/>
        </w:rPr>
        <w:footnoteReference w:id="12"/>
      </w:r>
      <w:r w:rsidRPr="00BF4073">
        <w:rPr>
          <w:szCs w:val="16"/>
        </w:rPr>
        <w:t>. Cette fantasmatique peut de ce fait trouver un su</w:t>
      </w:r>
      <w:r w:rsidRPr="00BF4073">
        <w:rPr>
          <w:szCs w:val="16"/>
        </w:rPr>
        <w:t>p</w:t>
      </w:r>
      <w:r w:rsidRPr="00BF4073">
        <w:rPr>
          <w:szCs w:val="16"/>
        </w:rPr>
        <w:t xml:space="preserve">port, même si elle heurte la pensée rationnelle la plus élémentaire. </w:t>
      </w:r>
      <w:r>
        <w:rPr>
          <w:szCs w:val="16"/>
        </w:rPr>
        <w:t>« </w:t>
      </w:r>
      <w:r w:rsidRPr="00BF4073">
        <w:rPr>
          <w:szCs w:val="16"/>
        </w:rPr>
        <w:t>Cette perception du sida comme risque majeur pour les équilibres sociaux et économiques croît en bas de l'échelle sociale dans les cat</w:t>
      </w:r>
      <w:r w:rsidRPr="00BF4073">
        <w:rPr>
          <w:szCs w:val="16"/>
        </w:rPr>
        <w:t>é</w:t>
      </w:r>
      <w:r w:rsidRPr="00BF4073">
        <w:rPr>
          <w:szCs w:val="16"/>
        </w:rPr>
        <w:t>gories de la population menacées par la crise économique, certaines fractions des classes p</w:t>
      </w:r>
      <w:r w:rsidRPr="00BF4073">
        <w:rPr>
          <w:szCs w:val="16"/>
        </w:rPr>
        <w:t>o</w:t>
      </w:r>
      <w:r w:rsidRPr="00BF4073">
        <w:rPr>
          <w:szCs w:val="16"/>
        </w:rPr>
        <w:t>pulaires et de la classe moyenne traditionnelle déclinante de petits a</w:t>
      </w:r>
      <w:r w:rsidRPr="00BF4073">
        <w:rPr>
          <w:szCs w:val="16"/>
        </w:rPr>
        <w:t>r</w:t>
      </w:r>
      <w:r w:rsidRPr="00BF4073">
        <w:rPr>
          <w:szCs w:val="16"/>
        </w:rPr>
        <w:t>tisans et commerçants proches du Front national.</w:t>
      </w:r>
      <w:r>
        <w:rPr>
          <w:szCs w:val="16"/>
        </w:rPr>
        <w:t> » </w:t>
      </w:r>
      <w:r>
        <w:rPr>
          <w:rStyle w:val="Appelnotedebasdep"/>
          <w:szCs w:val="16"/>
        </w:rPr>
        <w:footnoteReference w:id="13"/>
      </w:r>
      <w:r w:rsidRPr="00BF4073">
        <w:rPr>
          <w:szCs w:val="16"/>
        </w:rPr>
        <w:t>. La fantasmat</w:t>
      </w:r>
      <w:r w:rsidRPr="00BF4073">
        <w:rPr>
          <w:szCs w:val="16"/>
        </w:rPr>
        <w:t>i</w:t>
      </w:r>
      <w:r w:rsidRPr="00BF4073">
        <w:rPr>
          <w:szCs w:val="16"/>
        </w:rPr>
        <w:t>que de la contagion est alors mise au service du rejet de l'autre, du s</w:t>
      </w:r>
      <w:r w:rsidRPr="00BF4073">
        <w:rPr>
          <w:szCs w:val="16"/>
        </w:rPr>
        <w:t>é</w:t>
      </w:r>
      <w:r w:rsidRPr="00BF4073">
        <w:rPr>
          <w:szCs w:val="16"/>
        </w:rPr>
        <w:t>ropositif, du malade, voire de l'étranger ou du juif</w:t>
      </w:r>
      <w:r>
        <w:rPr>
          <w:szCs w:val="16"/>
        </w:rPr>
        <w:t> </w:t>
      </w:r>
      <w:r>
        <w:rPr>
          <w:rStyle w:val="Appelnotedebasdep"/>
          <w:szCs w:val="16"/>
        </w:rPr>
        <w:footnoteReference w:id="14"/>
      </w:r>
      <w:r>
        <w:rPr>
          <w:szCs w:val="16"/>
        </w:rPr>
        <w:t>.</w:t>
      </w:r>
    </w:p>
    <w:p w14:paraId="671EAF0F" w14:textId="77777777" w:rsidR="000407A5" w:rsidRPr="00BF4073" w:rsidRDefault="000407A5" w:rsidP="000407A5">
      <w:pPr>
        <w:spacing w:before="120"/>
        <w:jc w:val="both"/>
      </w:pPr>
      <w:r w:rsidRPr="00BF4073">
        <w:rPr>
          <w:szCs w:val="16"/>
        </w:rPr>
        <w:t xml:space="preserve">Comme on vient de le voir, l'analyse de Denise Jodelet à propos des représentations sociales de la folie et des fous peut être utilement transposée à ces phénomènes contemporains de </w:t>
      </w:r>
      <w:r>
        <w:rPr>
          <w:szCs w:val="16"/>
        </w:rPr>
        <w:t>« </w:t>
      </w:r>
      <w:r w:rsidRPr="00BF4073">
        <w:rPr>
          <w:szCs w:val="16"/>
        </w:rPr>
        <w:t>haine des étra</w:t>
      </w:r>
      <w:r w:rsidRPr="00BF4073">
        <w:rPr>
          <w:szCs w:val="16"/>
        </w:rPr>
        <w:t>n</w:t>
      </w:r>
      <w:r w:rsidRPr="00BF4073">
        <w:rPr>
          <w:szCs w:val="16"/>
        </w:rPr>
        <w:t>gers</w:t>
      </w:r>
      <w:r>
        <w:rPr>
          <w:szCs w:val="16"/>
        </w:rPr>
        <w:t> » (Auslä</w:t>
      </w:r>
      <w:r w:rsidRPr="00BF4073">
        <w:rPr>
          <w:szCs w:val="16"/>
        </w:rPr>
        <w:t>nderfeindlichkeit). Dans les deux cas le mythe de la p</w:t>
      </w:r>
      <w:r w:rsidRPr="00BF4073">
        <w:rPr>
          <w:szCs w:val="16"/>
        </w:rPr>
        <w:t>u</w:t>
      </w:r>
      <w:r w:rsidRPr="00BF4073">
        <w:rPr>
          <w:szCs w:val="16"/>
        </w:rPr>
        <w:t>reté à préserver fonde ainsi la sauvegarde de l'intégrité du corps ph</w:t>
      </w:r>
      <w:r w:rsidRPr="00BF4073">
        <w:rPr>
          <w:szCs w:val="16"/>
        </w:rPr>
        <w:t>y</w:t>
      </w:r>
      <w:r w:rsidRPr="00BF4073">
        <w:rPr>
          <w:szCs w:val="16"/>
        </w:rPr>
        <w:t xml:space="preserve">sique, et par extension du </w:t>
      </w:r>
      <w:r>
        <w:rPr>
          <w:szCs w:val="16"/>
        </w:rPr>
        <w:t>« </w:t>
      </w:r>
      <w:r w:rsidRPr="00BF4073">
        <w:rPr>
          <w:szCs w:val="16"/>
        </w:rPr>
        <w:t>corps social</w:t>
      </w:r>
      <w:r>
        <w:rPr>
          <w:szCs w:val="16"/>
        </w:rPr>
        <w:t> »</w:t>
      </w:r>
      <w:r w:rsidRPr="00BF4073">
        <w:rPr>
          <w:szCs w:val="16"/>
        </w:rPr>
        <w:t xml:space="preserve">. L'arrivée d'un étranger ou d'un groupe d'étrangers, sera alors maintes fois vécue comme une agression par le </w:t>
      </w:r>
      <w:r>
        <w:rPr>
          <w:szCs w:val="16"/>
        </w:rPr>
        <w:t>« </w:t>
      </w:r>
      <w:r w:rsidRPr="00BF4073">
        <w:rPr>
          <w:szCs w:val="16"/>
        </w:rPr>
        <w:t>corps social</w:t>
      </w:r>
      <w:r>
        <w:rPr>
          <w:szCs w:val="16"/>
        </w:rPr>
        <w:t xml:space="preserve"> » </w:t>
      </w:r>
      <w:r>
        <w:t xml:space="preserve">[157] </w:t>
      </w:r>
      <w:r w:rsidRPr="00BF4073">
        <w:rPr>
          <w:szCs w:val="16"/>
        </w:rPr>
        <w:t>en raison de cette adhésion co</w:t>
      </w:r>
      <w:r w:rsidRPr="00BF4073">
        <w:rPr>
          <w:szCs w:val="16"/>
        </w:rPr>
        <w:t>l</w:t>
      </w:r>
      <w:r w:rsidRPr="00BF4073">
        <w:rPr>
          <w:szCs w:val="16"/>
        </w:rPr>
        <w:t>lective à un ensemble de représent</w:t>
      </w:r>
      <w:r w:rsidRPr="00BF4073">
        <w:rPr>
          <w:szCs w:val="16"/>
        </w:rPr>
        <w:t>a</w:t>
      </w:r>
      <w:r w:rsidRPr="00BF4073">
        <w:rPr>
          <w:szCs w:val="16"/>
        </w:rPr>
        <w:t xml:space="preserve">tions ou de croyances archaïques, à </w:t>
      </w:r>
      <w:r>
        <w:rPr>
          <w:szCs w:val="16"/>
        </w:rPr>
        <w:t>« </w:t>
      </w:r>
      <w:r w:rsidRPr="00BF4073">
        <w:rPr>
          <w:szCs w:val="16"/>
        </w:rPr>
        <w:t>des images non domptées</w:t>
      </w:r>
      <w:r>
        <w:rPr>
          <w:szCs w:val="16"/>
        </w:rPr>
        <w:t> » </w:t>
      </w:r>
      <w:r>
        <w:rPr>
          <w:rStyle w:val="Appelnotedebasdep"/>
          <w:szCs w:val="16"/>
        </w:rPr>
        <w:footnoteReference w:id="15"/>
      </w:r>
      <w:r w:rsidRPr="00BF4073">
        <w:rPr>
          <w:szCs w:val="16"/>
        </w:rPr>
        <w:t>. C'est alors pour le groupe un moyen de défendre une identité, le plus souvent illusoire, et de s'a</w:t>
      </w:r>
      <w:r w:rsidRPr="00BF4073">
        <w:rPr>
          <w:szCs w:val="16"/>
        </w:rPr>
        <w:t>f</w:t>
      </w:r>
      <w:r w:rsidRPr="00BF4073">
        <w:rPr>
          <w:szCs w:val="16"/>
        </w:rPr>
        <w:t xml:space="preserve">firmer dans une unité mythique. La </w:t>
      </w:r>
      <w:r>
        <w:rPr>
          <w:szCs w:val="16"/>
        </w:rPr>
        <w:t>« </w:t>
      </w:r>
      <w:r w:rsidRPr="00BF4073">
        <w:rPr>
          <w:szCs w:val="16"/>
        </w:rPr>
        <w:t>solidarité négative</w:t>
      </w:r>
      <w:r>
        <w:rPr>
          <w:szCs w:val="16"/>
        </w:rPr>
        <w:t> »</w:t>
      </w:r>
      <w:r w:rsidRPr="00BF4073">
        <w:rPr>
          <w:szCs w:val="16"/>
        </w:rPr>
        <w:t xml:space="preserve"> fondée sur la peur de l'étranger</w:t>
      </w:r>
      <w:r>
        <w:rPr>
          <w:szCs w:val="16"/>
        </w:rPr>
        <w:t> </w:t>
      </w:r>
      <w:r>
        <w:rPr>
          <w:rStyle w:val="Appelnotedebasdep"/>
          <w:szCs w:val="16"/>
        </w:rPr>
        <w:footnoteReference w:id="16"/>
      </w:r>
      <w:r>
        <w:rPr>
          <w:szCs w:val="16"/>
        </w:rPr>
        <w:t xml:space="preserve"> </w:t>
      </w:r>
      <w:r w:rsidRPr="00BF4073">
        <w:rPr>
          <w:szCs w:val="16"/>
        </w:rPr>
        <w:t>peut alors être réactivée d'autant plus aisément par ceux qui défendent l'excl</w:t>
      </w:r>
      <w:r w:rsidRPr="00BF4073">
        <w:rPr>
          <w:szCs w:val="16"/>
        </w:rPr>
        <w:t>u</w:t>
      </w:r>
      <w:r>
        <w:rPr>
          <w:szCs w:val="16"/>
        </w:rPr>
        <w:t>sion et le rejet de l’</w:t>
      </w:r>
      <w:r w:rsidRPr="00BF4073">
        <w:rPr>
          <w:szCs w:val="16"/>
        </w:rPr>
        <w:t xml:space="preserve">autre comme valeur positive permettant de maintenir </w:t>
      </w:r>
      <w:r>
        <w:rPr>
          <w:szCs w:val="16"/>
        </w:rPr>
        <w:t>« </w:t>
      </w:r>
      <w:r w:rsidRPr="00BF4073">
        <w:rPr>
          <w:szCs w:val="16"/>
        </w:rPr>
        <w:t>l'identité</w:t>
      </w:r>
      <w:r>
        <w:rPr>
          <w:szCs w:val="16"/>
        </w:rPr>
        <w:t> »</w:t>
      </w:r>
      <w:r w:rsidRPr="00BF4073">
        <w:rPr>
          <w:szCs w:val="16"/>
        </w:rPr>
        <w:t xml:space="preserve"> du groupe</w:t>
      </w:r>
      <w:r>
        <w:rPr>
          <w:szCs w:val="16"/>
        </w:rPr>
        <w:t> !</w:t>
      </w:r>
      <w:r w:rsidRPr="00BF4073">
        <w:rPr>
          <w:szCs w:val="16"/>
        </w:rPr>
        <w:t xml:space="preserve"> On peut fa</w:t>
      </w:r>
      <w:r w:rsidRPr="00BF4073">
        <w:rPr>
          <w:szCs w:val="16"/>
        </w:rPr>
        <w:t>i</w:t>
      </w:r>
      <w:r w:rsidRPr="00BF4073">
        <w:rPr>
          <w:szCs w:val="16"/>
        </w:rPr>
        <w:t>re l'hypothèse que la viole</w:t>
      </w:r>
      <w:r w:rsidRPr="00BF4073">
        <w:rPr>
          <w:szCs w:val="16"/>
        </w:rPr>
        <w:t>n</w:t>
      </w:r>
      <w:r w:rsidRPr="00BF4073">
        <w:rPr>
          <w:szCs w:val="16"/>
        </w:rPr>
        <w:t xml:space="preserve">ce du racisme ordinaire découle en partie au moins de l'homologie entre la </w:t>
      </w:r>
      <w:r>
        <w:rPr>
          <w:szCs w:val="16"/>
        </w:rPr>
        <w:t>« </w:t>
      </w:r>
      <w:r w:rsidRPr="00BF4073">
        <w:rPr>
          <w:szCs w:val="16"/>
        </w:rPr>
        <w:t>logique</w:t>
      </w:r>
      <w:r>
        <w:rPr>
          <w:szCs w:val="16"/>
        </w:rPr>
        <w:t> »</w:t>
      </w:r>
      <w:r w:rsidRPr="00BF4073">
        <w:rPr>
          <w:szCs w:val="16"/>
        </w:rPr>
        <w:t xml:space="preserve"> d'exclusion et ces </w:t>
      </w:r>
      <w:r>
        <w:rPr>
          <w:szCs w:val="16"/>
        </w:rPr>
        <w:t>« </w:t>
      </w:r>
      <w:r w:rsidRPr="00BF4073">
        <w:rPr>
          <w:szCs w:val="16"/>
        </w:rPr>
        <w:t>images non domptées</w:t>
      </w:r>
      <w:r>
        <w:rPr>
          <w:szCs w:val="16"/>
        </w:rPr>
        <w:t> »</w:t>
      </w:r>
      <w:r w:rsidRPr="00BF4073">
        <w:rPr>
          <w:szCs w:val="16"/>
        </w:rPr>
        <w:t>.</w:t>
      </w:r>
    </w:p>
    <w:p w14:paraId="1F2EB402" w14:textId="77777777" w:rsidR="000407A5" w:rsidRPr="00BF4073" w:rsidRDefault="000407A5" w:rsidP="000407A5">
      <w:pPr>
        <w:spacing w:before="120"/>
        <w:jc w:val="both"/>
      </w:pPr>
      <w:r w:rsidRPr="00BF4073">
        <w:rPr>
          <w:szCs w:val="16"/>
        </w:rPr>
        <w:t>La perspective d'Abdelmalek Sayad est différente, il s'intéresse d'abord aux facteurs économiques, sociaux et politiques, permettant d'expliquer et de comprendre l'immigration. Ses travaux permettent de penser l'immigration comme un fait social concernant la société de départ, avant même d'être en lien avec la société d'arrivée. Il adopte dès les années 1960-1970 le point de vue de la société de départ pour s'intéresser aux causes et aux raisons qui ont poussé les hommes à pa</w:t>
      </w:r>
      <w:r w:rsidRPr="00BF4073">
        <w:rPr>
          <w:szCs w:val="16"/>
        </w:rPr>
        <w:t>r</w:t>
      </w:r>
      <w:r w:rsidRPr="00BF4073">
        <w:rPr>
          <w:szCs w:val="16"/>
        </w:rPr>
        <w:t>tir. Il cherche à analyser la diversité des conditions d'origine et des trajectoires. Dans un article important</w:t>
      </w:r>
      <w:r>
        <w:rPr>
          <w:szCs w:val="16"/>
        </w:rPr>
        <w:t> </w:t>
      </w:r>
      <w:r>
        <w:rPr>
          <w:rStyle w:val="Appelnotedebasdep"/>
          <w:szCs w:val="16"/>
        </w:rPr>
        <w:footnoteReference w:id="17"/>
      </w:r>
      <w:r w:rsidRPr="00BF4073">
        <w:rPr>
          <w:szCs w:val="16"/>
        </w:rPr>
        <w:t xml:space="preserve">, non reproduit dans son livre, il distingue, à propos de l'émigration algérienne, les </w:t>
      </w:r>
      <w:r>
        <w:rPr>
          <w:szCs w:val="16"/>
        </w:rPr>
        <w:t>« </w:t>
      </w:r>
      <w:r w:rsidRPr="00BF4073">
        <w:rPr>
          <w:szCs w:val="16"/>
        </w:rPr>
        <w:t>trois âges de l'émigration</w:t>
      </w:r>
      <w:r>
        <w:rPr>
          <w:szCs w:val="16"/>
        </w:rPr>
        <w:t> »</w:t>
      </w:r>
      <w:r w:rsidRPr="00BF4073">
        <w:rPr>
          <w:szCs w:val="16"/>
        </w:rPr>
        <w:t>. Dans un premier temps, l'émigration sur ordre, elle est contrôlée et subordonnée à l'ordre paysan et à l'ordre communautaire. Ensuite l'ordre social traditionnel perd le contrôle de l'émigration, les liens de servitude qui rattachaient l'émigré à la communauté dévalor</w:t>
      </w:r>
      <w:r w:rsidRPr="00BF4073">
        <w:rPr>
          <w:szCs w:val="16"/>
        </w:rPr>
        <w:t>i</w:t>
      </w:r>
      <w:r w:rsidRPr="00BF4073">
        <w:rPr>
          <w:szCs w:val="16"/>
        </w:rPr>
        <w:t xml:space="preserve">sée sont rompus. Enfin avec l'implantation des familles, on assiste à la constitution d'une véritable </w:t>
      </w:r>
      <w:r>
        <w:rPr>
          <w:szCs w:val="16"/>
        </w:rPr>
        <w:t>« </w:t>
      </w:r>
      <w:r w:rsidRPr="00BF4073">
        <w:rPr>
          <w:szCs w:val="16"/>
        </w:rPr>
        <w:t>colonie algérienne</w:t>
      </w:r>
      <w:r>
        <w:rPr>
          <w:szCs w:val="16"/>
        </w:rPr>
        <w:t> »</w:t>
      </w:r>
      <w:r w:rsidRPr="00BF4073">
        <w:rPr>
          <w:szCs w:val="16"/>
        </w:rPr>
        <w:t xml:space="preserve"> en France. On peut retrouver, dans les grandes lignes, ces étapes, ces stades, plus tard, pour l'émigration portugaise ou plus récemment turque ou africaine</w:t>
      </w:r>
      <w:r>
        <w:rPr>
          <w:szCs w:val="16"/>
        </w:rPr>
        <w:t> :</w:t>
      </w:r>
      <w:r w:rsidRPr="00BF4073">
        <w:rPr>
          <w:szCs w:val="16"/>
        </w:rPr>
        <w:t xml:space="preserve"> certaines régularités apparaissent en effet dans le processus de</w:t>
      </w:r>
      <w:r>
        <w:rPr>
          <w:szCs w:val="16"/>
        </w:rPr>
        <w:t xml:space="preserve"> </w:t>
      </w:r>
      <w:r w:rsidRPr="00BF4073">
        <w:rPr>
          <w:szCs w:val="16"/>
        </w:rPr>
        <w:t>l'imm</w:t>
      </w:r>
      <w:r w:rsidRPr="00BF4073">
        <w:rPr>
          <w:szCs w:val="16"/>
        </w:rPr>
        <w:t>i</w:t>
      </w:r>
      <w:r w:rsidRPr="00BF4073">
        <w:rPr>
          <w:szCs w:val="16"/>
        </w:rPr>
        <w:t>gration, même s'il convient à chaque fois d'étudier la diversité des p</w:t>
      </w:r>
      <w:r w:rsidRPr="00BF4073">
        <w:rPr>
          <w:szCs w:val="16"/>
        </w:rPr>
        <w:t>o</w:t>
      </w:r>
      <w:r w:rsidRPr="00BF4073">
        <w:rPr>
          <w:szCs w:val="16"/>
        </w:rPr>
        <w:t xml:space="preserve">pulations concernées. Le mécanisme de reproduction de l'émigration qui explique notamment le passage d'un stade à un autre est exposé dans le deuxième chapitre de son livre </w:t>
      </w:r>
      <w:r w:rsidRPr="00BF4073">
        <w:rPr>
          <w:i/>
          <w:iCs/>
          <w:szCs w:val="16"/>
        </w:rPr>
        <w:t xml:space="preserve">(Elgorba, </w:t>
      </w:r>
      <w:r w:rsidRPr="00BF4073">
        <w:rPr>
          <w:szCs w:val="16"/>
        </w:rPr>
        <w:t xml:space="preserve">l'exil et la souffrance de l'exil), qui rend la parole à un émigrant kabyle. Pierre Bourdieu note à ce propos, dans sa préface que A. Sayad </w:t>
      </w:r>
      <w:r>
        <w:rPr>
          <w:szCs w:val="16"/>
        </w:rPr>
        <w:t>« </w:t>
      </w:r>
      <w:r w:rsidRPr="00BF4073">
        <w:rPr>
          <w:szCs w:val="16"/>
        </w:rPr>
        <w:t>se fait écrivain p</w:t>
      </w:r>
      <w:r w:rsidRPr="00BF4073">
        <w:rPr>
          <w:szCs w:val="16"/>
        </w:rPr>
        <w:t>u</w:t>
      </w:r>
      <w:r w:rsidRPr="00BF4073">
        <w:rPr>
          <w:szCs w:val="16"/>
        </w:rPr>
        <w:t>blic</w:t>
      </w:r>
      <w:r>
        <w:rPr>
          <w:szCs w:val="16"/>
        </w:rPr>
        <w:t> » ;</w:t>
      </w:r>
      <w:r w:rsidRPr="00BF4073">
        <w:rPr>
          <w:szCs w:val="16"/>
        </w:rPr>
        <w:t xml:space="preserve"> il donne la parole à ceux qui en sont le plus cruellement d</w:t>
      </w:r>
      <w:r w:rsidRPr="00BF4073">
        <w:rPr>
          <w:szCs w:val="16"/>
        </w:rPr>
        <w:t>é</w:t>
      </w:r>
      <w:r w:rsidRPr="00BF4073">
        <w:rPr>
          <w:szCs w:val="16"/>
        </w:rPr>
        <w:t xml:space="preserve">possédés, mais </w:t>
      </w:r>
      <w:r>
        <w:rPr>
          <w:szCs w:val="16"/>
        </w:rPr>
        <w:t>« </w:t>
      </w:r>
      <w:r w:rsidRPr="00BF4073">
        <w:rPr>
          <w:szCs w:val="16"/>
        </w:rPr>
        <w:t>sans jamais s'instituer en porte-parole, sans jamais s'autoriser de la parole donnée</w:t>
      </w:r>
      <w:r>
        <w:rPr>
          <w:szCs w:val="16"/>
        </w:rPr>
        <w:t> » ;</w:t>
      </w:r>
      <w:r w:rsidRPr="00BF4073">
        <w:rPr>
          <w:szCs w:val="16"/>
        </w:rPr>
        <w:t xml:space="preserve"> son livre rassemble que</w:t>
      </w:r>
      <w:r w:rsidRPr="00BF4073">
        <w:rPr>
          <w:szCs w:val="16"/>
        </w:rPr>
        <w:t>l</w:t>
      </w:r>
      <w:r w:rsidRPr="00BF4073">
        <w:rPr>
          <w:szCs w:val="16"/>
        </w:rPr>
        <w:t>ques-uns de ses articles qui ont marqué la sociologie de l'immigr</w:t>
      </w:r>
      <w:r w:rsidRPr="00BF4073">
        <w:rPr>
          <w:szCs w:val="16"/>
        </w:rPr>
        <w:t>a</w:t>
      </w:r>
      <w:r w:rsidRPr="00BF4073">
        <w:rPr>
          <w:szCs w:val="16"/>
        </w:rPr>
        <w:t>tion</w:t>
      </w:r>
      <w:r>
        <w:rPr>
          <w:szCs w:val="16"/>
        </w:rPr>
        <w:t> </w:t>
      </w:r>
      <w:r>
        <w:rPr>
          <w:rStyle w:val="Appelnotedebasdep"/>
          <w:szCs w:val="16"/>
        </w:rPr>
        <w:footnoteReference w:id="18"/>
      </w:r>
      <w:r w:rsidRPr="00BF4073">
        <w:rPr>
          <w:szCs w:val="16"/>
        </w:rPr>
        <w:t>.</w:t>
      </w:r>
    </w:p>
    <w:p w14:paraId="5DBC773C" w14:textId="77777777" w:rsidR="000407A5" w:rsidRPr="00BF4073" w:rsidRDefault="000407A5" w:rsidP="000407A5">
      <w:pPr>
        <w:spacing w:before="120"/>
        <w:jc w:val="both"/>
      </w:pPr>
      <w:r w:rsidRPr="00BF4073">
        <w:rPr>
          <w:szCs w:val="16"/>
        </w:rPr>
        <w:t>Son travail porte donc à la fois sur la société de départ et la société d'arrivée, l'émigré devenant immigré</w:t>
      </w:r>
      <w:r>
        <w:rPr>
          <w:szCs w:val="16"/>
        </w:rPr>
        <w:t> :</w:t>
      </w:r>
      <w:r w:rsidRPr="00BF4073">
        <w:rPr>
          <w:szCs w:val="16"/>
        </w:rPr>
        <w:t xml:space="preserve"> </w:t>
      </w:r>
      <w:r>
        <w:rPr>
          <w:szCs w:val="16"/>
        </w:rPr>
        <w:t>« </w:t>
      </w:r>
      <w:r w:rsidRPr="00BF4073">
        <w:rPr>
          <w:szCs w:val="16"/>
        </w:rPr>
        <w:t>l'immigré n'existe pour la s</w:t>
      </w:r>
      <w:r w:rsidRPr="00BF4073">
        <w:rPr>
          <w:szCs w:val="16"/>
        </w:rPr>
        <w:t>o</w:t>
      </w:r>
      <w:r w:rsidRPr="00BF4073">
        <w:rPr>
          <w:szCs w:val="16"/>
        </w:rPr>
        <w:t>ciété qui le nomme comme tel, qu'à partir du moment où il en franchit les frontières et en foule le territoire</w:t>
      </w:r>
      <w:r>
        <w:rPr>
          <w:szCs w:val="16"/>
        </w:rPr>
        <w:t> ;</w:t>
      </w:r>
      <w:r w:rsidRPr="00BF4073">
        <w:rPr>
          <w:szCs w:val="16"/>
        </w:rPr>
        <w:t xml:space="preserve"> l'immigré </w:t>
      </w:r>
      <w:r>
        <w:rPr>
          <w:szCs w:val="16"/>
        </w:rPr>
        <w:t>« </w:t>
      </w:r>
      <w:r w:rsidRPr="00BF4073">
        <w:rPr>
          <w:szCs w:val="16"/>
        </w:rPr>
        <w:t>naît</w:t>
      </w:r>
      <w:r>
        <w:rPr>
          <w:szCs w:val="16"/>
        </w:rPr>
        <w:t> »</w:t>
      </w:r>
      <w:r w:rsidRPr="00BF4073">
        <w:rPr>
          <w:szCs w:val="16"/>
        </w:rPr>
        <w:t xml:space="preserve"> de ce jour à la société qui le désigne de la sorte</w:t>
      </w:r>
      <w:r>
        <w:rPr>
          <w:szCs w:val="16"/>
        </w:rPr>
        <w:t> »</w:t>
      </w:r>
      <w:r w:rsidRPr="00BF4073">
        <w:rPr>
          <w:szCs w:val="16"/>
        </w:rPr>
        <w:t>. Cependant le phénomène migrato</w:t>
      </w:r>
      <w:r w:rsidRPr="00BF4073">
        <w:rPr>
          <w:szCs w:val="16"/>
        </w:rPr>
        <w:t>i</w:t>
      </w:r>
      <w:r w:rsidRPr="00BF4073">
        <w:rPr>
          <w:szCs w:val="16"/>
        </w:rPr>
        <w:t>re analysé par A. Sayad n'est pas réduit à une somme de décisions i</w:t>
      </w:r>
      <w:r w:rsidRPr="00BF4073">
        <w:rPr>
          <w:szCs w:val="16"/>
        </w:rPr>
        <w:t>n</w:t>
      </w:r>
      <w:r w:rsidRPr="00BF4073">
        <w:rPr>
          <w:szCs w:val="16"/>
        </w:rPr>
        <w:t>dividuelles motivées par de simples raisons économiques. C'est pou</w:t>
      </w:r>
      <w:r w:rsidRPr="00BF4073">
        <w:rPr>
          <w:szCs w:val="16"/>
        </w:rPr>
        <w:t>r</w:t>
      </w:r>
      <w:r w:rsidRPr="00BF4073">
        <w:rPr>
          <w:szCs w:val="16"/>
        </w:rPr>
        <w:t>quoi la perspective individualiste telle qu'elle est développée par Cr</w:t>
      </w:r>
      <w:r w:rsidRPr="00BF4073">
        <w:rPr>
          <w:szCs w:val="16"/>
        </w:rPr>
        <w:t>o</w:t>
      </w:r>
      <w:r w:rsidRPr="00BF4073">
        <w:rPr>
          <w:szCs w:val="16"/>
        </w:rPr>
        <w:t>zier et Friedberg par exemple, n'est pas satisfaisante à ses yeux. Il an</w:t>
      </w:r>
      <w:r w:rsidRPr="00BF4073">
        <w:rPr>
          <w:szCs w:val="16"/>
        </w:rPr>
        <w:t>a</w:t>
      </w:r>
      <w:r w:rsidRPr="00BF4073">
        <w:rPr>
          <w:szCs w:val="16"/>
        </w:rPr>
        <w:t xml:space="preserve">lyse l'émigration/immigration comme </w:t>
      </w:r>
      <w:r>
        <w:rPr>
          <w:szCs w:val="16"/>
        </w:rPr>
        <w:t>« </w:t>
      </w:r>
      <w:r w:rsidRPr="00BF4073">
        <w:rPr>
          <w:szCs w:val="16"/>
        </w:rPr>
        <w:t>fait social total</w:t>
      </w:r>
      <w:r>
        <w:rPr>
          <w:szCs w:val="16"/>
        </w:rPr>
        <w:t> »</w:t>
      </w:r>
      <w:r w:rsidRPr="00BF4073">
        <w:rPr>
          <w:szCs w:val="16"/>
        </w:rPr>
        <w:t>, en partic</w:t>
      </w:r>
      <w:r w:rsidRPr="00BF4073">
        <w:rPr>
          <w:szCs w:val="16"/>
        </w:rPr>
        <w:t>u</w:t>
      </w:r>
      <w:r w:rsidRPr="00BF4073">
        <w:rPr>
          <w:szCs w:val="16"/>
        </w:rPr>
        <w:t xml:space="preserve">lier et d'abord comme phénomène politique, </w:t>
      </w:r>
      <w:r>
        <w:rPr>
          <w:szCs w:val="16"/>
        </w:rPr>
        <w:t>« </w:t>
      </w:r>
      <w:r w:rsidRPr="00BF4073">
        <w:rPr>
          <w:szCs w:val="16"/>
        </w:rPr>
        <w:t>l'ordre de l'immigr</w:t>
      </w:r>
      <w:r w:rsidRPr="00BF4073">
        <w:rPr>
          <w:szCs w:val="16"/>
        </w:rPr>
        <w:t>a</w:t>
      </w:r>
      <w:r w:rsidRPr="00BF4073">
        <w:rPr>
          <w:szCs w:val="16"/>
        </w:rPr>
        <w:t>tion</w:t>
      </w:r>
      <w:r>
        <w:rPr>
          <w:szCs w:val="16"/>
        </w:rPr>
        <w:t> »</w:t>
      </w:r>
      <w:r w:rsidRPr="00BF4073">
        <w:rPr>
          <w:szCs w:val="16"/>
        </w:rPr>
        <w:t xml:space="preserve"> étant lié à </w:t>
      </w:r>
      <w:r>
        <w:rPr>
          <w:szCs w:val="16"/>
        </w:rPr>
        <w:t>« </w:t>
      </w:r>
      <w:r w:rsidRPr="00BF4073">
        <w:rPr>
          <w:szCs w:val="16"/>
        </w:rPr>
        <w:t>l'ordre des nations</w:t>
      </w:r>
      <w:r>
        <w:rPr>
          <w:szCs w:val="16"/>
        </w:rPr>
        <w:t> »</w:t>
      </w:r>
      <w:r w:rsidRPr="00BF4073">
        <w:rPr>
          <w:szCs w:val="16"/>
        </w:rPr>
        <w:t>. Prenant en compte les dime</w:t>
      </w:r>
      <w:r w:rsidRPr="00BF4073">
        <w:rPr>
          <w:szCs w:val="16"/>
        </w:rPr>
        <w:t>n</w:t>
      </w:r>
      <w:r w:rsidRPr="00BF4073">
        <w:rPr>
          <w:szCs w:val="16"/>
        </w:rPr>
        <w:t>sions historique et politique qui parfois sont évacuées, son livre pe</w:t>
      </w:r>
      <w:r w:rsidRPr="00BF4073">
        <w:rPr>
          <w:szCs w:val="16"/>
        </w:rPr>
        <w:t>r</w:t>
      </w:r>
      <w:r w:rsidRPr="00BF4073">
        <w:rPr>
          <w:szCs w:val="16"/>
        </w:rPr>
        <w:t>met d'aboutir à une clarification de la définition des notions d'imm</w:t>
      </w:r>
      <w:r w:rsidRPr="00BF4073">
        <w:rPr>
          <w:szCs w:val="16"/>
        </w:rPr>
        <w:t>i</w:t>
      </w:r>
      <w:r w:rsidRPr="00BF4073">
        <w:rPr>
          <w:szCs w:val="16"/>
        </w:rPr>
        <w:t>gration et d'immigré. Les illusions, fréquentes, qui accompagnent l'immigration sont en effet celles qui consistent d'une part à la relier systématiquement au travail, aux raisons économiques, d'autre part à nier la nature fondamentalement politique de l'immigration.  Saya</w:t>
      </w:r>
      <w:r>
        <w:rPr>
          <w:szCs w:val="16"/>
        </w:rPr>
        <w:t>d déconstruit ces illu</w:t>
      </w:r>
      <w:r w:rsidRPr="00BF4073">
        <w:rPr>
          <w:szCs w:val="16"/>
        </w:rPr>
        <w:t>sions à partir de l'étude de l'immigration algérienne en France, première des immigrations originaires des pays dits du tiers-monde, autrefois colonisés.</w:t>
      </w:r>
    </w:p>
    <w:p w14:paraId="22370FB7" w14:textId="77777777" w:rsidR="000407A5" w:rsidRPr="00BF4073" w:rsidRDefault="000407A5" w:rsidP="000407A5">
      <w:pPr>
        <w:spacing w:before="120"/>
        <w:jc w:val="both"/>
      </w:pPr>
      <w:r w:rsidRPr="00BF4073">
        <w:rPr>
          <w:szCs w:val="16"/>
        </w:rPr>
        <w:t>Ses enquêtes sur l'émigration/immigration algérienne montrent d'abord que la présence de l'immigré est perçue dans la société de d</w:t>
      </w:r>
      <w:r w:rsidRPr="00BF4073">
        <w:rPr>
          <w:szCs w:val="16"/>
        </w:rPr>
        <w:t>é</w:t>
      </w:r>
      <w:r w:rsidRPr="00BF4073">
        <w:rPr>
          <w:szCs w:val="16"/>
        </w:rPr>
        <w:t>part comme dans la société d'arrivée, comme provisoire, alors qu'elle s'avère dans les faits, après coup, durable, voire définitive. L'immigr</w:t>
      </w:r>
      <w:r w:rsidRPr="00BF4073">
        <w:rPr>
          <w:szCs w:val="16"/>
        </w:rPr>
        <w:t>a</w:t>
      </w:r>
      <w:r w:rsidRPr="00BF4073">
        <w:rPr>
          <w:szCs w:val="16"/>
        </w:rPr>
        <w:t xml:space="preserve">tion est ainsi un état provisoire </w:t>
      </w:r>
      <w:r w:rsidRPr="00BF4073">
        <w:rPr>
          <w:i/>
          <w:iCs/>
          <w:szCs w:val="16"/>
        </w:rPr>
        <w:t xml:space="preserve">en droit, </w:t>
      </w:r>
      <w:r w:rsidRPr="00BF4073">
        <w:rPr>
          <w:szCs w:val="16"/>
        </w:rPr>
        <w:t xml:space="preserve">mais bel et bien une situation durable </w:t>
      </w:r>
      <w:r w:rsidRPr="00BF4073">
        <w:rPr>
          <w:i/>
          <w:iCs/>
          <w:szCs w:val="16"/>
        </w:rPr>
        <w:t xml:space="preserve">de fait. </w:t>
      </w:r>
      <w:r w:rsidRPr="00BF4073">
        <w:rPr>
          <w:szCs w:val="16"/>
        </w:rPr>
        <w:t xml:space="preserve">Il remarque que </w:t>
      </w:r>
      <w:r>
        <w:rPr>
          <w:szCs w:val="16"/>
        </w:rPr>
        <w:t>« </w:t>
      </w:r>
      <w:r w:rsidRPr="00BF4073">
        <w:rPr>
          <w:szCs w:val="16"/>
        </w:rPr>
        <w:t>tout se passe comme si l'immigr</w:t>
      </w:r>
      <w:r w:rsidRPr="00BF4073">
        <w:rPr>
          <w:szCs w:val="16"/>
        </w:rPr>
        <w:t>a</w:t>
      </w:r>
      <w:r w:rsidRPr="00BF4073">
        <w:rPr>
          <w:szCs w:val="16"/>
        </w:rPr>
        <w:t>tion avait besoin, pour pouvoir se perpétuer et se reproduire, de s'ign</w:t>
      </w:r>
      <w:r w:rsidRPr="00BF4073">
        <w:rPr>
          <w:szCs w:val="16"/>
        </w:rPr>
        <w:t>o</w:t>
      </w:r>
      <w:r w:rsidRPr="00BF4073">
        <w:rPr>
          <w:szCs w:val="16"/>
        </w:rPr>
        <w:t>rer (ou de feindre s'ignorer) et d'être ignorée comme provisoire et en même temps, de ne pas s'avouer comme transplantation définitive</w:t>
      </w:r>
      <w:r>
        <w:rPr>
          <w:szCs w:val="16"/>
        </w:rPr>
        <w:t> »</w:t>
      </w:r>
      <w:r w:rsidRPr="00BF4073">
        <w:rPr>
          <w:szCs w:val="16"/>
        </w:rPr>
        <w:t xml:space="preserve">. Tout concourt, d'après A. Sayad, à partager dans la société de départ comme dans la société d'arrivée, cette illusion collective qui est ainsi à la base même de l'immigration. Il retrouve ainsi les intuitions de Simmel à propos de la forme sociologique de l'étranger. Ce dernier remarquait déjà en 1908 que l'étranger </w:t>
      </w:r>
      <w:r>
        <w:rPr>
          <w:szCs w:val="16"/>
        </w:rPr>
        <w:t>« </w:t>
      </w:r>
      <w:r w:rsidRPr="00BF4073">
        <w:rPr>
          <w:szCs w:val="16"/>
        </w:rPr>
        <w:t>n'est pas ce personnage qu'on a souvent décrit par le passé, le voyageur qui arrive un jour et repart le lendemain, mais plutôt la personne arrivée aujourd'hui et qui restera demain</w:t>
      </w:r>
      <w:r>
        <w:rPr>
          <w:szCs w:val="16"/>
        </w:rPr>
        <w:t> » </w:t>
      </w:r>
      <w:r>
        <w:rPr>
          <w:rStyle w:val="Appelnotedebasdep"/>
          <w:szCs w:val="16"/>
        </w:rPr>
        <w:footnoteReference w:id="19"/>
      </w:r>
      <w:r w:rsidRPr="00BF4073">
        <w:rPr>
          <w:szCs w:val="16"/>
        </w:rPr>
        <w:t>.</w:t>
      </w:r>
    </w:p>
    <w:p w14:paraId="3562ADEE" w14:textId="77777777" w:rsidR="000407A5" w:rsidRPr="00BF4073" w:rsidRDefault="000407A5" w:rsidP="000407A5">
      <w:pPr>
        <w:spacing w:before="120"/>
        <w:jc w:val="both"/>
      </w:pPr>
      <w:r w:rsidRPr="00BF4073">
        <w:rPr>
          <w:szCs w:val="16"/>
        </w:rPr>
        <w:t>L'immigré est ainsi un travailleur défini et traité comme provisoire, donc révocable, c'est-à-dire expulsable, à tout moment. Le séjour a</w:t>
      </w:r>
      <w:r w:rsidRPr="00BF4073">
        <w:rPr>
          <w:szCs w:val="16"/>
        </w:rPr>
        <w:t>u</w:t>
      </w:r>
      <w:r w:rsidRPr="00BF4073">
        <w:rPr>
          <w:szCs w:val="16"/>
        </w:rPr>
        <w:t xml:space="preserve">torisé à l'immigré est entièrement assujetti à son travail. C'est le travail qui fait </w:t>
      </w:r>
      <w:r>
        <w:rPr>
          <w:szCs w:val="16"/>
        </w:rPr>
        <w:t>« </w:t>
      </w:r>
      <w:r w:rsidRPr="00BF4073">
        <w:rPr>
          <w:szCs w:val="16"/>
        </w:rPr>
        <w:t>naître</w:t>
      </w:r>
      <w:r>
        <w:rPr>
          <w:szCs w:val="16"/>
        </w:rPr>
        <w:t> »</w:t>
      </w:r>
      <w:r w:rsidRPr="00BF4073">
        <w:rPr>
          <w:szCs w:val="16"/>
        </w:rPr>
        <w:t xml:space="preserve"> l'immigré, qui le fait être. Le travail (pour imm</w:t>
      </w:r>
      <w:r w:rsidRPr="00BF4073">
        <w:rPr>
          <w:szCs w:val="16"/>
        </w:rPr>
        <w:t>i</w:t>
      </w:r>
      <w:r w:rsidRPr="00BF4073">
        <w:rPr>
          <w:szCs w:val="16"/>
        </w:rPr>
        <w:t>grés</w:t>
      </w:r>
      <w:r>
        <w:rPr>
          <w:szCs w:val="16"/>
        </w:rPr>
        <w:t> !</w:t>
      </w:r>
      <w:r w:rsidRPr="00BF4073">
        <w:rPr>
          <w:szCs w:val="16"/>
        </w:rPr>
        <w:t>) est la justification même de l'immigré. L'immigré n'est et ne peut être que par le travail. Être immigré et chômeur est de ce fait un paradoxe, car comment concevoir le non-travail avec ce qui n'a de sens que par le travail</w:t>
      </w:r>
      <w:r>
        <w:rPr>
          <w:szCs w:val="16"/>
        </w:rPr>
        <w:t> ?</w:t>
      </w:r>
      <w:r w:rsidRPr="00BF4073">
        <w:rPr>
          <w:szCs w:val="16"/>
        </w:rPr>
        <w:t xml:space="preserve"> Avec la montée de la crise de l'emploi la fig</w:t>
      </w:r>
      <w:r w:rsidRPr="00BF4073">
        <w:rPr>
          <w:szCs w:val="16"/>
        </w:rPr>
        <w:t>u</w:t>
      </w:r>
      <w:r w:rsidRPr="00BF4073">
        <w:rPr>
          <w:szCs w:val="16"/>
        </w:rPr>
        <w:t>re de l'immigré est par conséquent brouillée.</w:t>
      </w:r>
    </w:p>
    <w:p w14:paraId="25B7641F" w14:textId="77777777" w:rsidR="000407A5" w:rsidRPr="00BF4073" w:rsidRDefault="000407A5" w:rsidP="000407A5">
      <w:pPr>
        <w:spacing w:before="120"/>
        <w:jc w:val="both"/>
        <w:rPr>
          <w:szCs w:val="2"/>
        </w:rPr>
      </w:pPr>
      <w:r>
        <w:t>[158]</w:t>
      </w:r>
    </w:p>
    <w:p w14:paraId="0788B8E1" w14:textId="77777777" w:rsidR="000407A5" w:rsidRPr="00BF4073" w:rsidRDefault="000407A5" w:rsidP="000407A5">
      <w:pPr>
        <w:spacing w:before="120"/>
        <w:jc w:val="both"/>
      </w:pPr>
      <w:r w:rsidRPr="00BF4073">
        <w:rPr>
          <w:szCs w:val="16"/>
        </w:rPr>
        <w:t>Cependant l'immigré est non seulement un allogène qui vient tr</w:t>
      </w:r>
      <w:r w:rsidRPr="00BF4073">
        <w:rPr>
          <w:szCs w:val="16"/>
        </w:rPr>
        <w:t>a</w:t>
      </w:r>
      <w:r w:rsidRPr="00BF4073">
        <w:rPr>
          <w:szCs w:val="16"/>
        </w:rPr>
        <w:t>vailler, mais encore un non-national. C'est à ce titre qu'il est exclu du politique. Toutes les discriminations de fait qui le frappent sont ram</w:t>
      </w:r>
      <w:r w:rsidRPr="00BF4073">
        <w:rPr>
          <w:szCs w:val="16"/>
        </w:rPr>
        <w:t>e</w:t>
      </w:r>
      <w:r w:rsidRPr="00BF4073">
        <w:rPr>
          <w:szCs w:val="16"/>
        </w:rPr>
        <w:t>nées à cette discrimination (de droit) fondamentale. Cette distinction légale, officielle qu'on opère sur le plan politique constitue d'une ce</w:t>
      </w:r>
      <w:r w:rsidRPr="00BF4073">
        <w:rPr>
          <w:szCs w:val="16"/>
        </w:rPr>
        <w:t>r</w:t>
      </w:r>
      <w:r w:rsidRPr="00BF4073">
        <w:rPr>
          <w:szCs w:val="16"/>
        </w:rPr>
        <w:t xml:space="preserve">taine manière la justification ultime de toutes les autres distinctions. </w:t>
      </w:r>
      <w:r>
        <w:rPr>
          <w:szCs w:val="16"/>
        </w:rPr>
        <w:t>« </w:t>
      </w:r>
      <w:r w:rsidRPr="00BF4073">
        <w:rPr>
          <w:szCs w:val="16"/>
        </w:rPr>
        <w:t>La discrimination de droit appelle à son renfort les discriminations de fait (c'est-à-dire les inégalités sociales, économiques et culturelles) et, en retour celles-ci trouvent une justification et se donnent une lég</w:t>
      </w:r>
      <w:r w:rsidRPr="00BF4073">
        <w:rPr>
          <w:szCs w:val="16"/>
        </w:rPr>
        <w:t>i</w:t>
      </w:r>
      <w:r w:rsidRPr="00BF4073">
        <w:rPr>
          <w:szCs w:val="16"/>
        </w:rPr>
        <w:t>timité dans la distinction de droit</w:t>
      </w:r>
      <w:r>
        <w:rPr>
          <w:szCs w:val="16"/>
        </w:rPr>
        <w:t> »</w:t>
      </w:r>
      <w:r w:rsidRPr="00BF4073">
        <w:rPr>
          <w:szCs w:val="16"/>
        </w:rPr>
        <w:t xml:space="preserve">. La </w:t>
      </w:r>
      <w:r>
        <w:rPr>
          <w:szCs w:val="16"/>
        </w:rPr>
        <w:t>« </w:t>
      </w:r>
      <w:r w:rsidRPr="00BF4073">
        <w:rPr>
          <w:szCs w:val="16"/>
        </w:rPr>
        <w:t>condition sociale</w:t>
      </w:r>
      <w:r>
        <w:rPr>
          <w:szCs w:val="16"/>
        </w:rPr>
        <w:t> »</w:t>
      </w:r>
      <w:r w:rsidRPr="00BF4073">
        <w:rPr>
          <w:szCs w:val="16"/>
        </w:rPr>
        <w:t xml:space="preserve"> de l'i</w:t>
      </w:r>
      <w:r w:rsidRPr="00BF4073">
        <w:rPr>
          <w:szCs w:val="16"/>
        </w:rPr>
        <w:t>m</w:t>
      </w:r>
      <w:r w:rsidRPr="00BF4073">
        <w:rPr>
          <w:szCs w:val="16"/>
        </w:rPr>
        <w:t xml:space="preserve">migré et la </w:t>
      </w:r>
      <w:r>
        <w:rPr>
          <w:szCs w:val="16"/>
        </w:rPr>
        <w:t>« </w:t>
      </w:r>
      <w:r w:rsidRPr="00BF4073">
        <w:rPr>
          <w:szCs w:val="16"/>
        </w:rPr>
        <w:t>définition</w:t>
      </w:r>
      <w:r>
        <w:rPr>
          <w:szCs w:val="16"/>
        </w:rPr>
        <w:t xml:space="preserve"> </w:t>
      </w:r>
      <w:r w:rsidRPr="00BF4073">
        <w:rPr>
          <w:szCs w:val="16"/>
        </w:rPr>
        <w:t>juridique</w:t>
      </w:r>
      <w:r>
        <w:rPr>
          <w:szCs w:val="16"/>
        </w:rPr>
        <w:t> »</w:t>
      </w:r>
      <w:r w:rsidRPr="00BF4073">
        <w:rPr>
          <w:szCs w:val="16"/>
        </w:rPr>
        <w:t xml:space="preserve"> de l'étranger se renforcent ainsi mutuellement. Bref, la discrimination politique est telle qu'on importe des travailleurs, mais pas des citoyens, pas des sujets politiques. Quand ces travailleurs provenaient des colonies, par exemple d'Alg</w:t>
      </w:r>
      <w:r w:rsidRPr="00BF4073">
        <w:rPr>
          <w:szCs w:val="16"/>
        </w:rPr>
        <w:t>é</w:t>
      </w:r>
      <w:r w:rsidRPr="00BF4073">
        <w:rPr>
          <w:szCs w:val="16"/>
        </w:rPr>
        <w:t xml:space="preserve">rie, ils avaient comme caractéristiques juridiques d'être infériorisés en tant que travailleurs coloniaux, sujets français ou </w:t>
      </w:r>
      <w:r>
        <w:rPr>
          <w:szCs w:val="16"/>
        </w:rPr>
        <w:t>« </w:t>
      </w:r>
      <w:r w:rsidRPr="00BF4073">
        <w:rPr>
          <w:szCs w:val="16"/>
        </w:rPr>
        <w:t>Français-musulmans</w:t>
      </w:r>
      <w:r>
        <w:rPr>
          <w:szCs w:val="16"/>
        </w:rPr>
        <w:t> » </w:t>
      </w:r>
      <w:r>
        <w:rPr>
          <w:rStyle w:val="Appelnotedebasdep"/>
          <w:szCs w:val="16"/>
        </w:rPr>
        <w:footnoteReference w:id="20"/>
      </w:r>
      <w:r w:rsidRPr="00BF4073">
        <w:rPr>
          <w:szCs w:val="16"/>
        </w:rPr>
        <w:t>. L'immigré n'est finalement que la figure contemp</w:t>
      </w:r>
      <w:r w:rsidRPr="00BF4073">
        <w:rPr>
          <w:szCs w:val="16"/>
        </w:rPr>
        <w:t>o</w:t>
      </w:r>
      <w:r w:rsidRPr="00BF4073">
        <w:rPr>
          <w:szCs w:val="16"/>
        </w:rPr>
        <w:t>raine de ces étrangers, exclus des droits politiques, qu'ont été succe</w:t>
      </w:r>
      <w:r w:rsidRPr="00BF4073">
        <w:rPr>
          <w:szCs w:val="16"/>
        </w:rPr>
        <w:t>s</w:t>
      </w:r>
      <w:r w:rsidRPr="00BF4073">
        <w:rPr>
          <w:szCs w:val="16"/>
        </w:rPr>
        <w:t>sivement dans le passé les esclaves, les peregrini, les barbares, les m</w:t>
      </w:r>
      <w:r w:rsidRPr="00BF4073">
        <w:rPr>
          <w:szCs w:val="16"/>
        </w:rPr>
        <w:t>é</w:t>
      </w:r>
      <w:r w:rsidRPr="00BF4073">
        <w:rPr>
          <w:szCs w:val="16"/>
        </w:rPr>
        <w:t>tèques, les déportés, ou les réfugiés. L'immigré partage avec eux d'être hors de l'ordre juridique et politique national. L'immigré constitue une menace pour cet ordre par le seul fait de sa présence, parce qu'elle vient de l'extérieur.</w:t>
      </w:r>
    </w:p>
    <w:p w14:paraId="23294B62" w14:textId="77777777" w:rsidR="000407A5" w:rsidRPr="00BF4073" w:rsidRDefault="000407A5" w:rsidP="000407A5">
      <w:pPr>
        <w:spacing w:before="120"/>
        <w:jc w:val="both"/>
      </w:pPr>
      <w:r w:rsidRPr="00BF4073">
        <w:rPr>
          <w:szCs w:val="16"/>
        </w:rPr>
        <w:t>Mais ce n'est pas la situation individuelle de la personne et le temps de séjour qui seuls font la différence entre un étranger de pa</w:t>
      </w:r>
      <w:r w:rsidRPr="00BF4073">
        <w:rPr>
          <w:szCs w:val="16"/>
        </w:rPr>
        <w:t>s</w:t>
      </w:r>
      <w:r w:rsidRPr="00BF4073">
        <w:rPr>
          <w:szCs w:val="16"/>
        </w:rPr>
        <w:t>sage et un immigré installé, c'est aussi et d'abord le rapport de force entre deux mondes, deux pays, deux sociétés, deux cultures. On a ai</w:t>
      </w:r>
      <w:r w:rsidRPr="00BF4073">
        <w:rPr>
          <w:szCs w:val="16"/>
        </w:rPr>
        <w:t>n</w:t>
      </w:r>
      <w:r w:rsidRPr="00BF4073">
        <w:rPr>
          <w:szCs w:val="16"/>
        </w:rPr>
        <w:t xml:space="preserve">si schématiquement d'un côté </w:t>
      </w:r>
      <w:r>
        <w:rPr>
          <w:szCs w:val="16"/>
        </w:rPr>
        <w:t>« </w:t>
      </w:r>
      <w:r w:rsidRPr="00BF4073">
        <w:rPr>
          <w:szCs w:val="16"/>
        </w:rPr>
        <w:t xml:space="preserve">un monde dominant (politiquement, économiquement) qui ne produirait que des touristes (...) et de l'autre côté, un monde dominé  </w:t>
      </w:r>
      <w:r>
        <w:rPr>
          <w:szCs w:val="16"/>
        </w:rPr>
        <w:t>qui  ne donnerait que des  immi</w:t>
      </w:r>
      <w:r w:rsidRPr="00BF4073">
        <w:rPr>
          <w:szCs w:val="16"/>
        </w:rPr>
        <w:t>grés</w:t>
      </w:r>
      <w:r>
        <w:rPr>
          <w:szCs w:val="16"/>
        </w:rPr>
        <w:t> »</w:t>
      </w:r>
      <w:r w:rsidRPr="00BF4073">
        <w:rPr>
          <w:szCs w:val="16"/>
        </w:rPr>
        <w:t>. Tout étranger venant de ce second monde, lors même qu'il viendrait en to</w:t>
      </w:r>
      <w:r w:rsidRPr="00BF4073">
        <w:rPr>
          <w:szCs w:val="16"/>
        </w:rPr>
        <w:t>u</w:t>
      </w:r>
      <w:r w:rsidRPr="00BF4073">
        <w:rPr>
          <w:szCs w:val="16"/>
        </w:rPr>
        <w:t xml:space="preserve">riste et qu'il ne séjournerait que le temps imparti, serait a priori un </w:t>
      </w:r>
      <w:r>
        <w:rPr>
          <w:szCs w:val="16"/>
        </w:rPr>
        <w:t>« </w:t>
      </w:r>
      <w:r w:rsidRPr="00BF4073">
        <w:rPr>
          <w:szCs w:val="16"/>
        </w:rPr>
        <w:t>faux touriste</w:t>
      </w:r>
      <w:r>
        <w:rPr>
          <w:szCs w:val="16"/>
        </w:rPr>
        <w:t> »</w:t>
      </w:r>
      <w:r w:rsidRPr="00BF4073">
        <w:rPr>
          <w:szCs w:val="16"/>
        </w:rPr>
        <w:t xml:space="preserve">, un immigré virtuel, un </w:t>
      </w:r>
      <w:r>
        <w:rPr>
          <w:szCs w:val="16"/>
        </w:rPr>
        <w:t>« </w:t>
      </w:r>
      <w:r w:rsidRPr="00BF4073">
        <w:rPr>
          <w:szCs w:val="16"/>
        </w:rPr>
        <w:t>clandestin</w:t>
      </w:r>
      <w:r>
        <w:rPr>
          <w:szCs w:val="16"/>
        </w:rPr>
        <w:t> »</w:t>
      </w:r>
      <w:r w:rsidRPr="00BF4073">
        <w:rPr>
          <w:szCs w:val="16"/>
        </w:rPr>
        <w:t>. Tous les étrangers ne sont donc pas forcément des immigrés, comme tous les immigrés ne sont pas forcément des étrangers</w:t>
      </w:r>
      <w:r>
        <w:rPr>
          <w:szCs w:val="16"/>
        </w:rPr>
        <w:t> </w:t>
      </w:r>
      <w:r>
        <w:rPr>
          <w:rStyle w:val="Appelnotedebasdep"/>
          <w:szCs w:val="16"/>
        </w:rPr>
        <w:footnoteReference w:id="21"/>
      </w:r>
      <w:r w:rsidRPr="00BF4073">
        <w:rPr>
          <w:szCs w:val="16"/>
        </w:rPr>
        <w:t xml:space="preserve"> (du point de vue de la nationalité s'entend)</w:t>
      </w:r>
      <w:r>
        <w:rPr>
          <w:szCs w:val="16"/>
        </w:rPr>
        <w:t> :</w:t>
      </w:r>
      <w:r w:rsidRPr="00BF4073">
        <w:rPr>
          <w:szCs w:val="16"/>
        </w:rPr>
        <w:t xml:space="preserve"> qu'on pense aux harkis, aux originaires des DOM-TOM ou aux naturalisés qui ne restent pas moins des imm</w:t>
      </w:r>
      <w:r w:rsidRPr="00BF4073">
        <w:rPr>
          <w:szCs w:val="16"/>
        </w:rPr>
        <w:t>i</w:t>
      </w:r>
      <w:r w:rsidRPr="00BF4073">
        <w:rPr>
          <w:szCs w:val="16"/>
        </w:rPr>
        <w:t>grés</w:t>
      </w:r>
      <w:r>
        <w:rPr>
          <w:szCs w:val="16"/>
        </w:rPr>
        <w:t> !</w:t>
      </w:r>
    </w:p>
    <w:p w14:paraId="023DB88F" w14:textId="77777777" w:rsidR="000407A5" w:rsidRPr="00BF4073" w:rsidRDefault="000407A5" w:rsidP="000407A5">
      <w:pPr>
        <w:spacing w:before="120"/>
        <w:jc w:val="both"/>
      </w:pPr>
      <w:r w:rsidRPr="00BF4073">
        <w:rPr>
          <w:szCs w:val="16"/>
        </w:rPr>
        <w:t>Depuis le milieu du siècle dernier et jusque dans les années 1970, les emplois réservés aux immigrés se trouvent surtout dans la grande industrie et les mines</w:t>
      </w:r>
      <w:r>
        <w:rPr>
          <w:szCs w:val="16"/>
        </w:rPr>
        <w:t> ;</w:t>
      </w:r>
      <w:r w:rsidRPr="00BF4073">
        <w:rPr>
          <w:szCs w:val="16"/>
        </w:rPr>
        <w:t xml:space="preserve"> de manière prépondérante il s'agit d'emplois disqualifiés socialement, de postes dévalorisés. Ces positions, parce qu'occupées par des étrangers, sont d'une certaine manière external</w:t>
      </w:r>
      <w:r w:rsidRPr="00BF4073">
        <w:rPr>
          <w:szCs w:val="16"/>
        </w:rPr>
        <w:t>i</w:t>
      </w:r>
      <w:r w:rsidRPr="00BF4073">
        <w:rPr>
          <w:szCs w:val="16"/>
        </w:rPr>
        <w:t>sées, presque en dehors de la classe ouvrière</w:t>
      </w:r>
      <w:r>
        <w:rPr>
          <w:szCs w:val="16"/>
        </w:rPr>
        <w:t> ;</w:t>
      </w:r>
      <w:r w:rsidRPr="00BF4073">
        <w:rPr>
          <w:szCs w:val="16"/>
        </w:rPr>
        <w:t xml:space="preserve"> cette dernière se repr</w:t>
      </w:r>
      <w:r w:rsidRPr="00BF4073">
        <w:rPr>
          <w:szCs w:val="16"/>
        </w:rPr>
        <w:t>é</w:t>
      </w:r>
      <w:r w:rsidRPr="00BF4073">
        <w:rPr>
          <w:szCs w:val="16"/>
        </w:rPr>
        <w:t>sente en effet d'abord sous la figure de l'ouvrier masculin français et qualifié. Les étrangers sont ainsi isolés sur le plan économique dans quelques secteurs bien particuliers, dans des emplois infériorisés et dans quelques zones géographiquement délimitées. Les immigrés, le plus souvent des non-nationaux, à moins qu'il ne s'agisse de travai</w:t>
      </w:r>
      <w:r w:rsidRPr="00BF4073">
        <w:rPr>
          <w:szCs w:val="16"/>
        </w:rPr>
        <w:t>l</w:t>
      </w:r>
      <w:r w:rsidRPr="00BF4073">
        <w:rPr>
          <w:szCs w:val="16"/>
        </w:rPr>
        <w:t>leurs coloniaux</w:t>
      </w:r>
      <w:r>
        <w:rPr>
          <w:szCs w:val="16"/>
        </w:rPr>
        <w:t> </w:t>
      </w:r>
      <w:r>
        <w:rPr>
          <w:rStyle w:val="Appelnotedebasdep"/>
          <w:szCs w:val="16"/>
        </w:rPr>
        <w:footnoteReference w:id="22"/>
      </w:r>
      <w:r w:rsidRPr="00BF4073">
        <w:rPr>
          <w:szCs w:val="16"/>
        </w:rPr>
        <w:t>, sont aussi maintenus à la lisière de la communauté nationale</w:t>
      </w:r>
      <w:r>
        <w:rPr>
          <w:szCs w:val="16"/>
        </w:rPr>
        <w:t> :</w:t>
      </w:r>
      <w:r w:rsidRPr="00BF4073">
        <w:rPr>
          <w:szCs w:val="16"/>
        </w:rPr>
        <w:t xml:space="preserve"> ils sont isolés sur le plan politique (pas de droit de vote).</w:t>
      </w:r>
    </w:p>
    <w:p w14:paraId="14DE0425" w14:textId="77777777" w:rsidR="000407A5" w:rsidRPr="00BF4073" w:rsidRDefault="000407A5" w:rsidP="000407A5">
      <w:pPr>
        <w:spacing w:before="120"/>
        <w:jc w:val="both"/>
      </w:pPr>
      <w:r w:rsidRPr="00BF4073">
        <w:rPr>
          <w:szCs w:val="16"/>
        </w:rPr>
        <w:t xml:space="preserve">Gérard Noiriel a montré, notamment dans </w:t>
      </w:r>
      <w:r>
        <w:rPr>
          <w:szCs w:val="16"/>
        </w:rPr>
        <w:t>« </w:t>
      </w:r>
      <w:r w:rsidRPr="00BF4073">
        <w:rPr>
          <w:szCs w:val="16"/>
        </w:rPr>
        <w:t>Le creuset fra</w:t>
      </w:r>
      <w:r w:rsidRPr="00BF4073">
        <w:rPr>
          <w:szCs w:val="16"/>
        </w:rPr>
        <w:t>n</w:t>
      </w:r>
      <w:r w:rsidRPr="00BF4073">
        <w:rPr>
          <w:szCs w:val="16"/>
        </w:rPr>
        <w:t>çais</w:t>
      </w:r>
      <w:r>
        <w:rPr>
          <w:szCs w:val="16"/>
        </w:rPr>
        <w:t> » </w:t>
      </w:r>
      <w:r>
        <w:rPr>
          <w:rStyle w:val="Appelnotedebasdep"/>
          <w:szCs w:val="16"/>
        </w:rPr>
        <w:footnoteReference w:id="23"/>
      </w:r>
      <w:r w:rsidRPr="00BF4073">
        <w:rPr>
          <w:szCs w:val="16"/>
        </w:rPr>
        <w:t>, que l'immigration, grâce aux arrivées successives d'étrangers en Fra</w:t>
      </w:r>
      <w:r w:rsidRPr="00BF4073">
        <w:rPr>
          <w:szCs w:val="16"/>
        </w:rPr>
        <w:t>n</w:t>
      </w:r>
      <w:r w:rsidRPr="00BF4073">
        <w:rPr>
          <w:szCs w:val="16"/>
        </w:rPr>
        <w:t>ce, a permis finalement depuis le milieu du siècle dernier de fournir en ouvriers l'industrie et les mines françaises</w:t>
      </w:r>
      <w:r>
        <w:rPr>
          <w:szCs w:val="16"/>
        </w:rPr>
        <w:t> :</w:t>
      </w:r>
      <w:r w:rsidRPr="00BF4073">
        <w:rPr>
          <w:szCs w:val="16"/>
        </w:rPr>
        <w:t xml:space="preserve"> c'était, à post</w:t>
      </w:r>
      <w:r w:rsidRPr="00BF4073">
        <w:rPr>
          <w:szCs w:val="16"/>
        </w:rPr>
        <w:t>e</w:t>
      </w:r>
      <w:r w:rsidRPr="00BF4073">
        <w:rPr>
          <w:szCs w:val="16"/>
        </w:rPr>
        <w:t xml:space="preserve">riori, la solution à </w:t>
      </w:r>
      <w:r>
        <w:rPr>
          <w:szCs w:val="16"/>
        </w:rPr>
        <w:t>« </w:t>
      </w:r>
      <w:r w:rsidRPr="00BF4073">
        <w:rPr>
          <w:szCs w:val="16"/>
        </w:rPr>
        <w:t>l'impossible industrialisation de la France</w:t>
      </w:r>
      <w:r>
        <w:rPr>
          <w:szCs w:val="16"/>
        </w:rPr>
        <w:t> »</w:t>
      </w:r>
      <w:r w:rsidRPr="00BF4073">
        <w:rPr>
          <w:szCs w:val="16"/>
        </w:rPr>
        <w:t>. P</w:t>
      </w:r>
      <w:r w:rsidRPr="00BF4073">
        <w:rPr>
          <w:szCs w:val="16"/>
        </w:rPr>
        <w:t>a</w:t>
      </w:r>
      <w:r w:rsidRPr="00BF4073">
        <w:rPr>
          <w:szCs w:val="16"/>
        </w:rPr>
        <w:t>rallèlement, cela a rendu possible une alliance politique tout à fait or</w:t>
      </w:r>
      <w:r w:rsidRPr="00BF4073">
        <w:rPr>
          <w:szCs w:val="16"/>
        </w:rPr>
        <w:t>i</w:t>
      </w:r>
      <w:r w:rsidRPr="00BF4073">
        <w:rPr>
          <w:szCs w:val="16"/>
        </w:rPr>
        <w:t>ginale entre les classes dominantes et la paysannerie autochtones pe</w:t>
      </w:r>
      <w:r w:rsidRPr="00BF4073">
        <w:rPr>
          <w:szCs w:val="16"/>
        </w:rPr>
        <w:t>n</w:t>
      </w:r>
      <w:r w:rsidRPr="00BF4073">
        <w:rPr>
          <w:szCs w:val="16"/>
        </w:rPr>
        <w:t>dant toute la troisième République. L'exode rural en provenance</w:t>
      </w:r>
      <w:r>
        <w:rPr>
          <w:szCs w:val="16"/>
        </w:rPr>
        <w:t xml:space="preserve"> </w:t>
      </w:r>
      <w:r>
        <w:t xml:space="preserve">[159] </w:t>
      </w:r>
      <w:r w:rsidRPr="00BF4073">
        <w:rPr>
          <w:szCs w:val="16"/>
        </w:rPr>
        <w:t>des campagnes françaises se faisant, contrairement à ce qui s'était pa</w:t>
      </w:r>
      <w:r w:rsidRPr="00BF4073">
        <w:rPr>
          <w:szCs w:val="16"/>
        </w:rPr>
        <w:t>s</w:t>
      </w:r>
      <w:r w:rsidRPr="00BF4073">
        <w:rPr>
          <w:szCs w:val="16"/>
        </w:rPr>
        <w:t>sé dans le cas de la Grande-Bretagne, plutôt dans le sens d'une asce</w:t>
      </w:r>
      <w:r w:rsidRPr="00BF4073">
        <w:rPr>
          <w:szCs w:val="16"/>
        </w:rPr>
        <w:t>n</w:t>
      </w:r>
      <w:r w:rsidRPr="00BF4073">
        <w:rPr>
          <w:szCs w:val="16"/>
        </w:rPr>
        <w:t>sion sociale</w:t>
      </w:r>
      <w:r>
        <w:rPr>
          <w:szCs w:val="16"/>
        </w:rPr>
        <w:t> :</w:t>
      </w:r>
      <w:r w:rsidRPr="00BF4073">
        <w:rPr>
          <w:szCs w:val="16"/>
        </w:rPr>
        <w:t xml:space="preserve"> les enfants des paysans devenant par exemple caf</w:t>
      </w:r>
      <w:r w:rsidRPr="00BF4073">
        <w:rPr>
          <w:szCs w:val="16"/>
        </w:rPr>
        <w:t>e</w:t>
      </w:r>
      <w:r w:rsidRPr="00BF4073">
        <w:rPr>
          <w:szCs w:val="16"/>
        </w:rPr>
        <w:t>tiers, épiciers, commerçants ou petits fonctionnaires, mais a priori pas o</w:t>
      </w:r>
      <w:r w:rsidRPr="00BF4073">
        <w:rPr>
          <w:szCs w:val="16"/>
        </w:rPr>
        <w:t>u</w:t>
      </w:r>
      <w:r w:rsidRPr="00BF4073">
        <w:rPr>
          <w:szCs w:val="16"/>
        </w:rPr>
        <w:t>vriers. D'une certaine manière l'immigration permet de maintenir une indifférenciation mythique des Français, les emplois du bas de l'éche</w:t>
      </w:r>
      <w:r w:rsidRPr="00BF4073">
        <w:rPr>
          <w:szCs w:val="16"/>
        </w:rPr>
        <w:t>l</w:t>
      </w:r>
      <w:r w:rsidRPr="00BF4073">
        <w:rPr>
          <w:szCs w:val="16"/>
        </w:rPr>
        <w:t>le sociale étant occupés en part importante par les immigrés. Le mo</w:t>
      </w:r>
      <w:r w:rsidRPr="00BF4073">
        <w:rPr>
          <w:szCs w:val="16"/>
        </w:rPr>
        <w:t>n</w:t>
      </w:r>
      <w:r w:rsidRPr="00BF4073">
        <w:rPr>
          <w:szCs w:val="16"/>
        </w:rPr>
        <w:t>de ouvrier et ses organisations, syndicales et politiques, seront pou</w:t>
      </w:r>
      <w:r w:rsidRPr="00BF4073">
        <w:rPr>
          <w:szCs w:val="16"/>
        </w:rPr>
        <w:t>r</w:t>
      </w:r>
      <w:r w:rsidRPr="00BF4073">
        <w:rPr>
          <w:szCs w:val="16"/>
        </w:rPr>
        <w:t>tant le creuset de l'intégration</w:t>
      </w:r>
      <w:r>
        <w:rPr>
          <w:szCs w:val="16"/>
        </w:rPr>
        <w:t> </w:t>
      </w:r>
      <w:r>
        <w:rPr>
          <w:rStyle w:val="Appelnotedebasdep"/>
          <w:szCs w:val="16"/>
        </w:rPr>
        <w:footnoteReference w:id="24"/>
      </w:r>
      <w:r w:rsidRPr="00BF4073">
        <w:rPr>
          <w:szCs w:val="16"/>
        </w:rPr>
        <w:t xml:space="preserve"> des premières générations d'i</w:t>
      </w:r>
      <w:r w:rsidRPr="00BF4073">
        <w:rPr>
          <w:szCs w:val="16"/>
        </w:rPr>
        <w:t>m</w:t>
      </w:r>
      <w:r w:rsidRPr="00BF4073">
        <w:rPr>
          <w:szCs w:val="16"/>
        </w:rPr>
        <w:t xml:space="preserve">migrés dans la société française. Ces dernières et leurs enfants seront même une composante importante de la classe ouvrière </w:t>
      </w:r>
      <w:r w:rsidRPr="00BF4073">
        <w:rPr>
          <w:i/>
          <w:iCs/>
          <w:szCs w:val="16"/>
        </w:rPr>
        <w:t xml:space="preserve">française </w:t>
      </w:r>
      <w:r w:rsidRPr="00BF4073">
        <w:rPr>
          <w:szCs w:val="16"/>
        </w:rPr>
        <w:t>dans de nombreuses régions industrielles ou minières</w:t>
      </w:r>
      <w:r>
        <w:rPr>
          <w:szCs w:val="16"/>
        </w:rPr>
        <w:t> </w:t>
      </w:r>
      <w:r>
        <w:rPr>
          <w:rStyle w:val="Appelnotedebasdep"/>
          <w:szCs w:val="16"/>
        </w:rPr>
        <w:footnoteReference w:id="25"/>
      </w:r>
      <w:r w:rsidRPr="00BF4073">
        <w:rPr>
          <w:szCs w:val="16"/>
        </w:rPr>
        <w:t>. La société frança</w:t>
      </w:r>
      <w:r w:rsidRPr="00BF4073">
        <w:rPr>
          <w:szCs w:val="16"/>
        </w:rPr>
        <w:t>i</w:t>
      </w:r>
      <w:r w:rsidRPr="00BF4073">
        <w:rPr>
          <w:szCs w:val="16"/>
        </w:rPr>
        <w:t>se a intégré des vagues successives d'immigrés italiens, espagnols, pol</w:t>
      </w:r>
      <w:r w:rsidRPr="00BF4073">
        <w:rPr>
          <w:szCs w:val="16"/>
        </w:rPr>
        <w:t>o</w:t>
      </w:r>
      <w:r w:rsidRPr="00BF4073">
        <w:rPr>
          <w:szCs w:val="16"/>
        </w:rPr>
        <w:t>nais et autres. Pour Dominique Schnapper, la nation a été le pri</w:t>
      </w:r>
      <w:r w:rsidRPr="00BF4073">
        <w:rPr>
          <w:szCs w:val="16"/>
        </w:rPr>
        <w:t>n</w:t>
      </w:r>
      <w:r w:rsidRPr="00BF4073">
        <w:rPr>
          <w:szCs w:val="16"/>
        </w:rPr>
        <w:t>cipe intégrateur dans la mesure où elle est considérée comme la forme p</w:t>
      </w:r>
      <w:r w:rsidRPr="00BF4073">
        <w:rPr>
          <w:szCs w:val="16"/>
        </w:rPr>
        <w:t>o</w:t>
      </w:r>
      <w:r w:rsidRPr="00BF4073">
        <w:rPr>
          <w:szCs w:val="16"/>
        </w:rPr>
        <w:t>litique qui a permis de transcender les différences entre les popul</w:t>
      </w:r>
      <w:r w:rsidRPr="00BF4073">
        <w:rPr>
          <w:szCs w:val="16"/>
        </w:rPr>
        <w:t>a</w:t>
      </w:r>
      <w:r w:rsidRPr="00BF4073">
        <w:rPr>
          <w:szCs w:val="16"/>
        </w:rPr>
        <w:t xml:space="preserve">tions au sein d'une entité globale et autour d'un projet commun. La nation est en effet d'après cet auteur </w:t>
      </w:r>
      <w:r>
        <w:rPr>
          <w:szCs w:val="16"/>
        </w:rPr>
        <w:t>« </w:t>
      </w:r>
      <w:r w:rsidRPr="00BF4073">
        <w:rPr>
          <w:szCs w:val="16"/>
        </w:rPr>
        <w:t>un espace politique, donc jur</w:t>
      </w:r>
      <w:r w:rsidRPr="00BF4073">
        <w:rPr>
          <w:szCs w:val="16"/>
        </w:rPr>
        <w:t>i</w:t>
      </w:r>
      <w:r w:rsidRPr="00BF4073">
        <w:rPr>
          <w:szCs w:val="16"/>
        </w:rPr>
        <w:t>dique, administratif et social, à l'intérieur duquel sont réglés les rel</w:t>
      </w:r>
      <w:r w:rsidRPr="00BF4073">
        <w:rPr>
          <w:szCs w:val="16"/>
        </w:rPr>
        <w:t>a</w:t>
      </w:r>
      <w:r w:rsidRPr="00BF4073">
        <w:rPr>
          <w:szCs w:val="16"/>
        </w:rPr>
        <w:t>tions, les rivalités et les conflits entre les individus et les groupes</w:t>
      </w:r>
      <w:r>
        <w:rPr>
          <w:szCs w:val="16"/>
        </w:rPr>
        <w:t> » </w:t>
      </w:r>
      <w:r>
        <w:rPr>
          <w:rStyle w:val="Appelnotedebasdep"/>
          <w:szCs w:val="16"/>
        </w:rPr>
        <w:footnoteReference w:id="26"/>
      </w:r>
      <w:r w:rsidRPr="00BF4073">
        <w:rPr>
          <w:szCs w:val="16"/>
        </w:rPr>
        <w:t>. Mais c'est bien la culture locale, dans les régions industrielles ou minières notamment, sur la base de l'activité professionnelle, qui a été le cadre unificateur concret des travailleurs d'origines ethniques diff</w:t>
      </w:r>
      <w:r w:rsidRPr="00BF4073">
        <w:rPr>
          <w:szCs w:val="16"/>
        </w:rPr>
        <w:t>é</w:t>
      </w:r>
      <w:r w:rsidRPr="00BF4073">
        <w:rPr>
          <w:szCs w:val="16"/>
        </w:rPr>
        <w:t>rentes et de leurs familles</w:t>
      </w:r>
      <w:r>
        <w:rPr>
          <w:szCs w:val="16"/>
        </w:rPr>
        <w:t> :</w:t>
      </w:r>
      <w:r w:rsidRPr="00BF4073">
        <w:rPr>
          <w:szCs w:val="16"/>
        </w:rPr>
        <w:t xml:space="preserve"> la différence ethnique s'est trouvée pr</w:t>
      </w:r>
      <w:r w:rsidRPr="00BF4073">
        <w:rPr>
          <w:szCs w:val="16"/>
        </w:rPr>
        <w:t>o</w:t>
      </w:r>
      <w:r w:rsidRPr="00BF4073">
        <w:rPr>
          <w:szCs w:val="16"/>
        </w:rPr>
        <w:t>gressivement résorbée dans ce cadre local.</w:t>
      </w:r>
    </w:p>
    <w:p w14:paraId="2451A9C8" w14:textId="77777777" w:rsidR="000407A5" w:rsidRDefault="000407A5" w:rsidP="000407A5">
      <w:pPr>
        <w:spacing w:before="120"/>
        <w:jc w:val="both"/>
        <w:rPr>
          <w:szCs w:val="16"/>
        </w:rPr>
      </w:pPr>
      <w:r w:rsidRPr="00BF4073">
        <w:rPr>
          <w:szCs w:val="16"/>
        </w:rPr>
        <w:t>Aujourd'hui nous nous trouvons dans une situation différente dans la mesure où les capacités intégratrices des cultures locales semblent fortement amoindries en raison de la précarisation économique et s</w:t>
      </w:r>
      <w:r w:rsidRPr="00BF4073">
        <w:rPr>
          <w:szCs w:val="16"/>
        </w:rPr>
        <w:t>o</w:t>
      </w:r>
      <w:r w:rsidRPr="00BF4073">
        <w:rPr>
          <w:szCs w:val="16"/>
        </w:rPr>
        <w:t>ciale qui caractérise la crise actuelle, avec</w:t>
      </w:r>
      <w:r>
        <w:rPr>
          <w:szCs w:val="16"/>
        </w:rPr>
        <w:t xml:space="preserve"> </w:t>
      </w:r>
      <w:r w:rsidRPr="00BF4073">
        <w:rPr>
          <w:szCs w:val="16"/>
        </w:rPr>
        <w:t>la montée du chômage, le déclin relatif du secteur industriel et le recul concomitant de l'enc</w:t>
      </w:r>
      <w:r w:rsidRPr="00BF4073">
        <w:rPr>
          <w:szCs w:val="16"/>
        </w:rPr>
        <w:t>a</w:t>
      </w:r>
      <w:r w:rsidRPr="00BF4073">
        <w:rPr>
          <w:szCs w:val="16"/>
        </w:rPr>
        <w:t>drement syndical et politique</w:t>
      </w:r>
      <w:r>
        <w:rPr>
          <w:szCs w:val="16"/>
        </w:rPr>
        <w:t> </w:t>
      </w:r>
      <w:r>
        <w:rPr>
          <w:rStyle w:val="Appelnotedebasdep"/>
          <w:szCs w:val="16"/>
        </w:rPr>
        <w:footnoteReference w:id="27"/>
      </w:r>
      <w:r>
        <w:rPr>
          <w:szCs w:val="16"/>
        </w:rPr>
        <w:t>.</w:t>
      </w:r>
      <w:r w:rsidRPr="00BF4073">
        <w:rPr>
          <w:szCs w:val="16"/>
        </w:rPr>
        <w:t xml:space="preserve"> Les ass</w:t>
      </w:r>
      <w:r w:rsidRPr="00BF4073">
        <w:rPr>
          <w:szCs w:val="16"/>
        </w:rPr>
        <w:t>o</w:t>
      </w:r>
      <w:r w:rsidRPr="00BF4073">
        <w:rPr>
          <w:szCs w:val="16"/>
        </w:rPr>
        <w:t>ciations locales, les réseaux culturels et/ou politiques connaissent une baisse de dynamisme et un retrait militant significatif dans les qua</w:t>
      </w:r>
      <w:r w:rsidRPr="00BF4073">
        <w:rPr>
          <w:szCs w:val="16"/>
        </w:rPr>
        <w:t>r</w:t>
      </w:r>
      <w:r w:rsidRPr="00BF4073">
        <w:rPr>
          <w:szCs w:val="16"/>
        </w:rPr>
        <w:t xml:space="preserve">tiers populaires. On observe aussi, en même temps, un enfermement croissant des individus dans l'espace privé. Olivier Schwartz montre de manière convaincante comment dans le monde ouvrier du Nord, la famille, le </w:t>
      </w:r>
      <w:r>
        <w:rPr>
          <w:szCs w:val="16"/>
        </w:rPr>
        <w:t>« </w:t>
      </w:r>
      <w:r w:rsidRPr="00BF4073">
        <w:rPr>
          <w:szCs w:val="16"/>
        </w:rPr>
        <w:t>foyer</w:t>
      </w:r>
      <w:r>
        <w:rPr>
          <w:szCs w:val="16"/>
        </w:rPr>
        <w:t> »</w:t>
      </w:r>
      <w:r w:rsidRPr="00BF4073">
        <w:rPr>
          <w:szCs w:val="16"/>
        </w:rPr>
        <w:t>, pôle du privé par excellence, devient objet des plus grands investissements, et concurrence les implications collect</w:t>
      </w:r>
      <w:r w:rsidRPr="00BF4073">
        <w:rPr>
          <w:szCs w:val="16"/>
        </w:rPr>
        <w:t>i</w:t>
      </w:r>
      <w:r w:rsidRPr="00BF4073">
        <w:rPr>
          <w:szCs w:val="16"/>
        </w:rPr>
        <w:t>ves</w:t>
      </w:r>
      <w:r>
        <w:rPr>
          <w:szCs w:val="16"/>
        </w:rPr>
        <w:t> </w:t>
      </w:r>
      <w:r>
        <w:rPr>
          <w:rStyle w:val="Appelnotedebasdep"/>
          <w:szCs w:val="16"/>
        </w:rPr>
        <w:footnoteReference w:id="28"/>
      </w:r>
      <w:r w:rsidRPr="00BF4073">
        <w:rPr>
          <w:szCs w:val="16"/>
        </w:rPr>
        <w:t>. Les territoires urbains sont ainsi de plus en plus désertés par les groupes intermédiaires structurant la vie locale et souvent l'espace p</w:t>
      </w:r>
      <w:r w:rsidRPr="00BF4073">
        <w:rPr>
          <w:szCs w:val="16"/>
        </w:rPr>
        <w:t>u</w:t>
      </w:r>
      <w:r w:rsidRPr="00BF4073">
        <w:rPr>
          <w:szCs w:val="16"/>
        </w:rPr>
        <w:t>blic de communication n'existe plus. Un changement intervient aussi en ce qui concerne l'or</w:t>
      </w:r>
      <w:r w:rsidRPr="00BF4073">
        <w:rPr>
          <w:szCs w:val="16"/>
        </w:rPr>
        <w:t>i</w:t>
      </w:r>
      <w:r w:rsidRPr="00BF4073">
        <w:rPr>
          <w:szCs w:val="16"/>
        </w:rPr>
        <w:t>gine des populations qui proviennent de pays ou de continents de plus en plus lointains</w:t>
      </w:r>
      <w:r>
        <w:rPr>
          <w:szCs w:val="16"/>
        </w:rPr>
        <w:t> ;</w:t>
      </w:r>
      <w:r w:rsidRPr="00BF4073">
        <w:rPr>
          <w:szCs w:val="16"/>
        </w:rPr>
        <w:t xml:space="preserve"> par exemple, contrairement à l'entre-deux-guerre où l'immigration vers la France concernait avant tout des populations e</w:t>
      </w:r>
      <w:r w:rsidRPr="00BF4073">
        <w:rPr>
          <w:szCs w:val="16"/>
        </w:rPr>
        <w:t>u</w:t>
      </w:r>
      <w:r w:rsidRPr="00BF4073">
        <w:rPr>
          <w:szCs w:val="16"/>
        </w:rPr>
        <w:t>ropéennes, durant les années 1960 à 1980 elle est davantage marquée par l'arrivée de personnes originaires d'Afrique du Nord ou d'autres pays du tiers-monde. Le processus d'intégration des immigrés les plus récents apparait pour toutes ces raisons plus di</w:t>
      </w:r>
      <w:r w:rsidRPr="00BF4073">
        <w:rPr>
          <w:szCs w:val="16"/>
        </w:rPr>
        <w:t>f</w:t>
      </w:r>
      <w:r w:rsidRPr="00BF4073">
        <w:rPr>
          <w:szCs w:val="16"/>
        </w:rPr>
        <w:t>ficile à certains. Ceci ne doit pas faire oublier que l'intégration des Italiens ou des Polonais ne s'est pas faite facilement contrairement à ce qu'une vision mythifiée du passé nous donne à voir. Gérard Noiriel souligne avec force qu'un des procédés polémiques les plus fréque</w:t>
      </w:r>
      <w:r w:rsidRPr="00BF4073">
        <w:rPr>
          <w:szCs w:val="16"/>
        </w:rPr>
        <w:t>m</w:t>
      </w:r>
      <w:r w:rsidRPr="00BF4073">
        <w:rPr>
          <w:szCs w:val="16"/>
        </w:rPr>
        <w:t>ment employés consiste à dramatiser la situation actuelle en lui opp</w:t>
      </w:r>
      <w:r w:rsidRPr="00BF4073">
        <w:rPr>
          <w:szCs w:val="16"/>
        </w:rPr>
        <w:t>o</w:t>
      </w:r>
      <w:r w:rsidRPr="00BF4073">
        <w:rPr>
          <w:szCs w:val="16"/>
        </w:rPr>
        <w:t xml:space="preserve">sant, sans aucune preuve, l'intégration </w:t>
      </w:r>
      <w:r>
        <w:rPr>
          <w:szCs w:val="16"/>
        </w:rPr>
        <w:t>« </w:t>
      </w:r>
      <w:r w:rsidRPr="00BF4073">
        <w:rPr>
          <w:szCs w:val="16"/>
        </w:rPr>
        <w:t>réussie</w:t>
      </w:r>
      <w:r>
        <w:rPr>
          <w:szCs w:val="16"/>
        </w:rPr>
        <w:t> »</w:t>
      </w:r>
      <w:r w:rsidRPr="00BF4073">
        <w:rPr>
          <w:szCs w:val="16"/>
        </w:rPr>
        <w:t xml:space="preserve"> des vagues d'imm</w:t>
      </w:r>
      <w:r w:rsidRPr="00BF4073">
        <w:rPr>
          <w:szCs w:val="16"/>
        </w:rPr>
        <w:t>i</w:t>
      </w:r>
      <w:r w:rsidRPr="00BF4073">
        <w:rPr>
          <w:szCs w:val="16"/>
        </w:rPr>
        <w:t>grés du passé</w:t>
      </w:r>
      <w:r>
        <w:rPr>
          <w:szCs w:val="16"/>
        </w:rPr>
        <w:t> </w:t>
      </w:r>
      <w:r>
        <w:rPr>
          <w:rStyle w:val="Appelnotedebasdep"/>
          <w:szCs w:val="16"/>
        </w:rPr>
        <w:footnoteReference w:id="29"/>
      </w:r>
      <w:r>
        <w:rPr>
          <w:szCs w:val="16"/>
        </w:rPr>
        <w:t>.</w:t>
      </w:r>
      <w:r w:rsidRPr="00BF4073">
        <w:rPr>
          <w:szCs w:val="16"/>
        </w:rPr>
        <w:t xml:space="preserve"> C'est dans ce contexte que, d'après Abdelmalek Sayad, le voile des illusions e</w:t>
      </w:r>
      <w:r w:rsidRPr="00BF4073">
        <w:rPr>
          <w:szCs w:val="16"/>
        </w:rPr>
        <w:t>n</w:t>
      </w:r>
      <w:r w:rsidRPr="00BF4073">
        <w:rPr>
          <w:szCs w:val="16"/>
        </w:rPr>
        <w:t>tourant l'immigration se rompt, notamment suite à la prise de con</w:t>
      </w:r>
      <w:r w:rsidRPr="00BF4073">
        <w:rPr>
          <w:szCs w:val="16"/>
        </w:rPr>
        <w:t>s</w:t>
      </w:r>
      <w:r w:rsidRPr="00BF4073">
        <w:rPr>
          <w:szCs w:val="16"/>
        </w:rPr>
        <w:t>cience de la permanence de la prése</w:t>
      </w:r>
      <w:r w:rsidRPr="00BF4073">
        <w:rPr>
          <w:szCs w:val="16"/>
        </w:rPr>
        <w:t>n</w:t>
      </w:r>
      <w:r w:rsidRPr="00BF4073">
        <w:rPr>
          <w:szCs w:val="16"/>
        </w:rPr>
        <w:t>ce en France des immigrés et de leurs enfants et c'est alors</w:t>
      </w:r>
    </w:p>
    <w:p w14:paraId="6BEB19D2" w14:textId="77777777" w:rsidR="000407A5" w:rsidRPr="00BF4073" w:rsidRDefault="000407A5" w:rsidP="000407A5">
      <w:pPr>
        <w:spacing w:before="120"/>
        <w:jc w:val="both"/>
      </w:pPr>
    </w:p>
    <w:p w14:paraId="354A8806" w14:textId="77777777" w:rsidR="000407A5" w:rsidRDefault="000407A5" w:rsidP="000407A5">
      <w:pPr>
        <w:spacing w:before="120"/>
        <w:jc w:val="both"/>
      </w:pPr>
      <w:r w:rsidRPr="00D66988">
        <w:rPr>
          <w:szCs w:val="16"/>
        </w:rPr>
        <w:br w:type="page"/>
      </w:r>
    </w:p>
    <w:p w14:paraId="0751160A" w14:textId="77777777" w:rsidR="000407A5" w:rsidRPr="00BF4073" w:rsidRDefault="000407A5" w:rsidP="000407A5">
      <w:pPr>
        <w:pStyle w:val="figtitrest"/>
        <w:rPr>
          <w:szCs w:val="2"/>
        </w:rPr>
      </w:pPr>
      <w:r w:rsidRPr="00BF4073">
        <w:t>Zuzana Jaczov</w:t>
      </w:r>
      <w:r>
        <w:t>a. Cariatide des Carpathes.</w:t>
      </w:r>
      <w:r>
        <w:br/>
        <w:t>L'être</w:t>
      </w:r>
      <w:r w:rsidRPr="00BF4073">
        <w:t xml:space="preserve"> traversant le monde (Sculpture en grès</w:t>
      </w:r>
      <w:r>
        <w:t>)</w:t>
      </w:r>
    </w:p>
    <w:p w14:paraId="4CC73887" w14:textId="77777777" w:rsidR="000407A5" w:rsidRPr="00BF4073" w:rsidRDefault="00E26D64" w:rsidP="000407A5">
      <w:pPr>
        <w:pStyle w:val="fig"/>
      </w:pPr>
      <w:r w:rsidRPr="00BF4073">
        <w:rPr>
          <w:noProof/>
        </w:rPr>
        <w:drawing>
          <wp:inline distT="0" distB="0" distL="0" distR="0" wp14:anchorId="514E90D1" wp14:editId="4E167CBD">
            <wp:extent cx="2273300" cy="5816600"/>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73300" cy="5816600"/>
                    </a:xfrm>
                    <a:prstGeom prst="rect">
                      <a:avLst/>
                    </a:prstGeom>
                    <a:noFill/>
                    <a:ln>
                      <a:noFill/>
                    </a:ln>
                  </pic:spPr>
                </pic:pic>
              </a:graphicData>
            </a:graphic>
          </wp:inline>
        </w:drawing>
      </w:r>
    </w:p>
    <w:p w14:paraId="11D0640B" w14:textId="77777777" w:rsidR="000407A5" w:rsidRPr="00BF4073" w:rsidRDefault="000407A5" w:rsidP="000407A5">
      <w:pPr>
        <w:spacing w:before="120"/>
        <w:ind w:firstLine="0"/>
        <w:jc w:val="both"/>
      </w:pPr>
      <w:r w:rsidRPr="00BF4073">
        <w:br w:type="column"/>
      </w:r>
      <w:r>
        <w:rPr>
          <w:szCs w:val="18"/>
        </w:rPr>
        <w:t>[160]</w:t>
      </w:r>
    </w:p>
    <w:p w14:paraId="029ABB0A" w14:textId="77777777" w:rsidR="000407A5" w:rsidRPr="00BF4073" w:rsidRDefault="000407A5" w:rsidP="000407A5">
      <w:pPr>
        <w:spacing w:before="120"/>
        <w:ind w:firstLine="0"/>
        <w:jc w:val="both"/>
      </w:pPr>
      <w:r w:rsidRPr="00BF4073">
        <w:rPr>
          <w:szCs w:val="14"/>
        </w:rPr>
        <w:t xml:space="preserve">qu'une </w:t>
      </w:r>
      <w:r>
        <w:rPr>
          <w:szCs w:val="14"/>
        </w:rPr>
        <w:t>« </w:t>
      </w:r>
      <w:r w:rsidRPr="00BF4073">
        <w:rPr>
          <w:szCs w:val="14"/>
        </w:rPr>
        <w:t>logique</w:t>
      </w:r>
      <w:r>
        <w:rPr>
          <w:szCs w:val="14"/>
        </w:rPr>
        <w:t> »</w:t>
      </w:r>
      <w:r w:rsidRPr="00BF4073">
        <w:rPr>
          <w:szCs w:val="14"/>
        </w:rPr>
        <w:t xml:space="preserve"> passionnelle va se développer à propos de l'imm</w:t>
      </w:r>
      <w:r w:rsidRPr="00BF4073">
        <w:rPr>
          <w:szCs w:val="14"/>
        </w:rPr>
        <w:t>i</w:t>
      </w:r>
      <w:r w:rsidRPr="00BF4073">
        <w:rPr>
          <w:szCs w:val="14"/>
        </w:rPr>
        <w:t>gration</w:t>
      </w:r>
      <w:r>
        <w:rPr>
          <w:szCs w:val="16"/>
        </w:rPr>
        <w:t> </w:t>
      </w:r>
      <w:r>
        <w:rPr>
          <w:rStyle w:val="Appelnotedebasdep"/>
          <w:szCs w:val="16"/>
        </w:rPr>
        <w:footnoteReference w:id="30"/>
      </w:r>
      <w:r w:rsidRPr="00BF4073">
        <w:rPr>
          <w:szCs w:val="14"/>
        </w:rPr>
        <w:t xml:space="preserve">. Il convient cependant de noter que la </w:t>
      </w:r>
      <w:r>
        <w:rPr>
          <w:szCs w:val="14"/>
        </w:rPr>
        <w:t>« </w:t>
      </w:r>
      <w:r w:rsidRPr="00BF4073">
        <w:rPr>
          <w:szCs w:val="14"/>
        </w:rPr>
        <w:t>thématique anti-immigré</w:t>
      </w:r>
      <w:r>
        <w:rPr>
          <w:szCs w:val="14"/>
        </w:rPr>
        <w:t> »</w:t>
      </w:r>
      <w:r w:rsidRPr="00BF4073">
        <w:rPr>
          <w:szCs w:val="14"/>
        </w:rPr>
        <w:t xml:space="preserve"> vise, non pas les </w:t>
      </w:r>
      <w:r>
        <w:rPr>
          <w:szCs w:val="14"/>
        </w:rPr>
        <w:t>« </w:t>
      </w:r>
      <w:r w:rsidRPr="00BF4073">
        <w:rPr>
          <w:szCs w:val="14"/>
        </w:rPr>
        <w:t>autres</w:t>
      </w:r>
      <w:r>
        <w:rPr>
          <w:szCs w:val="14"/>
        </w:rPr>
        <w:t> »</w:t>
      </w:r>
      <w:r w:rsidRPr="00BF4073">
        <w:rPr>
          <w:szCs w:val="14"/>
        </w:rPr>
        <w:t xml:space="preserve">, </w:t>
      </w:r>
      <w:r>
        <w:rPr>
          <w:szCs w:val="14"/>
        </w:rPr>
        <w:t>« </w:t>
      </w:r>
      <w:r w:rsidRPr="00BF4073">
        <w:rPr>
          <w:szCs w:val="14"/>
        </w:rPr>
        <w:t>l'altérité</w:t>
      </w:r>
      <w:r>
        <w:rPr>
          <w:szCs w:val="14"/>
        </w:rPr>
        <w:t> »</w:t>
      </w:r>
      <w:r w:rsidRPr="00BF4073">
        <w:rPr>
          <w:szCs w:val="14"/>
        </w:rPr>
        <w:t>, mais souligne e</w:t>
      </w:r>
      <w:r w:rsidRPr="00BF4073">
        <w:rPr>
          <w:szCs w:val="14"/>
        </w:rPr>
        <w:t>n</w:t>
      </w:r>
      <w:r w:rsidRPr="00BF4073">
        <w:rPr>
          <w:szCs w:val="14"/>
        </w:rPr>
        <w:t xml:space="preserve">core Sayad, </w:t>
      </w:r>
      <w:r>
        <w:rPr>
          <w:szCs w:val="14"/>
        </w:rPr>
        <w:t>« </w:t>
      </w:r>
      <w:r w:rsidRPr="00BF4073">
        <w:rPr>
          <w:szCs w:val="14"/>
        </w:rPr>
        <w:t>l'identité de soi</w:t>
      </w:r>
      <w:r>
        <w:rPr>
          <w:szCs w:val="14"/>
        </w:rPr>
        <w:t> »</w:t>
      </w:r>
      <w:r w:rsidRPr="00BF4073">
        <w:rPr>
          <w:szCs w:val="14"/>
        </w:rPr>
        <w:t xml:space="preserve">. Il ajoute que </w:t>
      </w:r>
      <w:r>
        <w:rPr>
          <w:szCs w:val="14"/>
        </w:rPr>
        <w:t>« </w:t>
      </w:r>
      <w:r w:rsidRPr="00BF4073">
        <w:rPr>
          <w:szCs w:val="14"/>
        </w:rPr>
        <w:t>c'est là une des fon</w:t>
      </w:r>
      <w:r w:rsidRPr="00BF4073">
        <w:rPr>
          <w:szCs w:val="14"/>
        </w:rPr>
        <w:t>c</w:t>
      </w:r>
      <w:r w:rsidRPr="00BF4073">
        <w:rPr>
          <w:szCs w:val="14"/>
        </w:rPr>
        <w:t>tion essentielles du discours sur l'immigration</w:t>
      </w:r>
      <w:r>
        <w:rPr>
          <w:szCs w:val="14"/>
        </w:rPr>
        <w:t> :</w:t>
      </w:r>
      <w:r w:rsidRPr="00BF4073">
        <w:rPr>
          <w:szCs w:val="14"/>
        </w:rPr>
        <w:t xml:space="preserve"> on parle objectivement de soi quand on parle des autres</w:t>
      </w:r>
      <w:r>
        <w:rPr>
          <w:szCs w:val="14"/>
        </w:rPr>
        <w:t> »</w:t>
      </w:r>
      <w:r w:rsidRPr="00BF4073">
        <w:rPr>
          <w:szCs w:val="14"/>
        </w:rPr>
        <w:t>. Le thème de l'exclusion de l'autre réapparaît par ce biais et on retrouve finalement une des lignes de fo</w:t>
      </w:r>
      <w:r w:rsidRPr="00BF4073">
        <w:rPr>
          <w:szCs w:val="14"/>
        </w:rPr>
        <w:t>r</w:t>
      </w:r>
      <w:r w:rsidRPr="00BF4073">
        <w:rPr>
          <w:szCs w:val="14"/>
        </w:rPr>
        <w:t>ce des discours d'extrême-droite</w:t>
      </w:r>
      <w:r>
        <w:rPr>
          <w:szCs w:val="14"/>
        </w:rPr>
        <w:t> :</w:t>
      </w:r>
      <w:r w:rsidRPr="00BF4073">
        <w:rPr>
          <w:szCs w:val="14"/>
        </w:rPr>
        <w:t xml:space="preserve"> la </w:t>
      </w:r>
      <w:r>
        <w:rPr>
          <w:szCs w:val="14"/>
        </w:rPr>
        <w:t>défense d'une identité fétich</w:t>
      </w:r>
      <w:r>
        <w:rPr>
          <w:szCs w:val="14"/>
        </w:rPr>
        <w:t>i</w:t>
      </w:r>
      <w:r>
        <w:rPr>
          <w:szCs w:val="14"/>
        </w:rPr>
        <w:t>s</w:t>
      </w:r>
      <w:r w:rsidRPr="00BF4073">
        <w:rPr>
          <w:szCs w:val="14"/>
        </w:rPr>
        <w:t>ée</w:t>
      </w:r>
      <w:r>
        <w:rPr>
          <w:szCs w:val="16"/>
        </w:rPr>
        <w:t> </w:t>
      </w:r>
      <w:r>
        <w:rPr>
          <w:rStyle w:val="Appelnotedebasdep"/>
          <w:szCs w:val="16"/>
        </w:rPr>
        <w:footnoteReference w:id="31"/>
      </w:r>
      <w:r w:rsidRPr="00BF4073">
        <w:rPr>
          <w:szCs w:val="14"/>
        </w:rPr>
        <w:t>. Cette thématique xénophobe s'est installée dans le champ clos médi</w:t>
      </w:r>
      <w:r w:rsidRPr="00BF4073">
        <w:rPr>
          <w:szCs w:val="14"/>
        </w:rPr>
        <w:t>a</w:t>
      </w:r>
      <w:r w:rsidRPr="00BF4073">
        <w:rPr>
          <w:szCs w:val="14"/>
        </w:rPr>
        <w:t xml:space="preserve">tique du politique, depuis plus de dix ans maintenant, en France, mais aussi dans la plupart des autres pays européens. Et ce thème de l'exclusion hante maintenant de fait </w:t>
      </w:r>
      <w:r w:rsidRPr="00BF4073">
        <w:rPr>
          <w:i/>
          <w:iCs/>
          <w:szCs w:val="14"/>
        </w:rPr>
        <w:t xml:space="preserve">tous </w:t>
      </w:r>
      <w:r w:rsidRPr="00BF4073">
        <w:rPr>
          <w:szCs w:val="14"/>
        </w:rPr>
        <w:t>les discours politiques. Le d</w:t>
      </w:r>
      <w:r w:rsidRPr="00BF4073">
        <w:rPr>
          <w:szCs w:val="14"/>
        </w:rPr>
        <w:t>é</w:t>
      </w:r>
      <w:r w:rsidRPr="00BF4073">
        <w:rPr>
          <w:szCs w:val="14"/>
        </w:rPr>
        <w:t>passement du blocage apparent du processus d'intégration est rendu ainsi plus difficile. La thématique xénophobe participe en effet à la fabrication de ces représentations sociales répulsives qui risquent de repousser la population d'origine maghrébine notamment, vers une condition ethno-culturelle spécifique avec peut-être à l'avenir l'appar</w:t>
      </w:r>
      <w:r w:rsidRPr="00BF4073">
        <w:rPr>
          <w:szCs w:val="14"/>
        </w:rPr>
        <w:t>i</w:t>
      </w:r>
      <w:r w:rsidRPr="00BF4073">
        <w:rPr>
          <w:szCs w:val="14"/>
        </w:rPr>
        <w:t xml:space="preserve">tion d'un phénomène significatif de construction identitaire sur la base de l'Islam. C'est ce que souligne aussi Michel Wievorka qui remarque que </w:t>
      </w:r>
      <w:r>
        <w:rPr>
          <w:szCs w:val="14"/>
        </w:rPr>
        <w:t>« </w:t>
      </w:r>
      <w:r w:rsidRPr="00BF4073">
        <w:rPr>
          <w:szCs w:val="14"/>
        </w:rPr>
        <w:t>quand une minorité est exclue socialement et que cette excl</w:t>
      </w:r>
      <w:r w:rsidRPr="00BF4073">
        <w:rPr>
          <w:szCs w:val="14"/>
        </w:rPr>
        <w:t>u</w:t>
      </w:r>
      <w:r w:rsidRPr="00BF4073">
        <w:rPr>
          <w:szCs w:val="14"/>
        </w:rPr>
        <w:t>sion est renforcée parle racisme, elle est tentée de s'installer sur les seules références positives qui lui restent, l'identité communautaire, religieuse ou ethnique, et même de s'en inventer</w:t>
      </w:r>
      <w:r>
        <w:rPr>
          <w:szCs w:val="14"/>
        </w:rPr>
        <w:t> »</w:t>
      </w:r>
      <w:r>
        <w:rPr>
          <w:szCs w:val="16"/>
        </w:rPr>
        <w:t> </w:t>
      </w:r>
      <w:r>
        <w:rPr>
          <w:rStyle w:val="Appelnotedebasdep"/>
          <w:szCs w:val="16"/>
        </w:rPr>
        <w:footnoteReference w:id="32"/>
      </w:r>
      <w:r w:rsidRPr="00BF4073">
        <w:rPr>
          <w:szCs w:val="14"/>
        </w:rPr>
        <w:t>. Il n'est pas po</w:t>
      </w:r>
      <w:r w:rsidRPr="00BF4073">
        <w:rPr>
          <w:szCs w:val="14"/>
        </w:rPr>
        <w:t>s</w:t>
      </w:r>
      <w:r w:rsidRPr="00BF4073">
        <w:rPr>
          <w:szCs w:val="14"/>
        </w:rPr>
        <w:t xml:space="preserve">sible cependant, aujourd'hui, de trancher entre l'hypothèse de </w:t>
      </w:r>
      <w:r w:rsidRPr="00BF4073">
        <w:rPr>
          <w:i/>
          <w:iCs/>
          <w:szCs w:val="14"/>
        </w:rPr>
        <w:t>l'éba</w:t>
      </w:r>
      <w:r w:rsidRPr="00BF4073">
        <w:rPr>
          <w:i/>
          <w:iCs/>
          <w:szCs w:val="14"/>
        </w:rPr>
        <w:t>u</w:t>
      </w:r>
      <w:r w:rsidRPr="00BF4073">
        <w:rPr>
          <w:i/>
          <w:iCs/>
          <w:szCs w:val="14"/>
        </w:rPr>
        <w:t xml:space="preserve">che </w:t>
      </w:r>
      <w:r w:rsidRPr="00BF4073">
        <w:rPr>
          <w:szCs w:val="14"/>
        </w:rPr>
        <w:t xml:space="preserve">de l'ethnicité, </w:t>
      </w:r>
      <w:r>
        <w:rPr>
          <w:szCs w:val="14"/>
        </w:rPr>
        <w:t>« </w:t>
      </w:r>
      <w:r w:rsidRPr="00BF4073">
        <w:rPr>
          <w:szCs w:val="14"/>
        </w:rPr>
        <w:t>marque passagère d'une crise sociétale</w:t>
      </w:r>
      <w:r>
        <w:rPr>
          <w:szCs w:val="14"/>
        </w:rPr>
        <w:t> »</w:t>
      </w:r>
      <w:r w:rsidRPr="00BF4073">
        <w:rPr>
          <w:szCs w:val="14"/>
        </w:rPr>
        <w:t xml:space="preserve">, </w:t>
      </w:r>
      <w:r>
        <w:rPr>
          <w:szCs w:val="14"/>
        </w:rPr>
        <w:t>« </w:t>
      </w:r>
      <w:r w:rsidRPr="00BF4073">
        <w:rPr>
          <w:szCs w:val="14"/>
        </w:rPr>
        <w:t>expression d'un dérèglement de sociétés nationales</w:t>
      </w:r>
      <w:r>
        <w:rPr>
          <w:szCs w:val="14"/>
        </w:rPr>
        <w:t> »</w:t>
      </w:r>
      <w:r>
        <w:rPr>
          <w:szCs w:val="16"/>
        </w:rPr>
        <w:t> </w:t>
      </w:r>
      <w:r>
        <w:rPr>
          <w:rStyle w:val="Appelnotedebasdep"/>
          <w:szCs w:val="16"/>
        </w:rPr>
        <w:footnoteReference w:id="33"/>
      </w:r>
      <w:r w:rsidRPr="00BF4073">
        <w:rPr>
          <w:szCs w:val="14"/>
        </w:rPr>
        <w:t xml:space="preserve">, pathologie provisoire, phénomène conjoncturel, voire mythe sans contenu réel, et l'hypothèse de la marche vers un </w:t>
      </w:r>
      <w:r>
        <w:rPr>
          <w:szCs w:val="14"/>
        </w:rPr>
        <w:t>« </w:t>
      </w:r>
      <w:r>
        <w:rPr>
          <w:i/>
          <w:iCs/>
          <w:szCs w:val="14"/>
        </w:rPr>
        <w:t>diffé</w:t>
      </w:r>
      <w:r w:rsidRPr="00BF4073">
        <w:rPr>
          <w:i/>
          <w:iCs/>
          <w:szCs w:val="14"/>
        </w:rPr>
        <w:t>rentialisme généralisé</w:t>
      </w:r>
      <w:r>
        <w:rPr>
          <w:i/>
          <w:iCs/>
          <w:szCs w:val="14"/>
        </w:rPr>
        <w:t> »</w:t>
      </w:r>
      <w:r>
        <w:rPr>
          <w:szCs w:val="16"/>
        </w:rPr>
        <w:t> </w:t>
      </w:r>
      <w:r>
        <w:rPr>
          <w:rStyle w:val="Appelnotedebasdep"/>
          <w:szCs w:val="16"/>
        </w:rPr>
        <w:footnoteReference w:id="34"/>
      </w:r>
      <w:r w:rsidRPr="00BF4073">
        <w:rPr>
          <w:i/>
          <w:iCs/>
          <w:szCs w:val="14"/>
        </w:rPr>
        <w:t xml:space="preserve">, </w:t>
      </w:r>
      <w:r w:rsidRPr="00BF4073">
        <w:rPr>
          <w:szCs w:val="14"/>
        </w:rPr>
        <w:t>jungle du marché,  de l'individualisme,  des tribus,  des</w:t>
      </w:r>
      <w:r>
        <w:rPr>
          <w:szCs w:val="14"/>
        </w:rPr>
        <w:t xml:space="preserve"> </w:t>
      </w:r>
      <w:r w:rsidRPr="00BF4073">
        <w:rPr>
          <w:szCs w:val="14"/>
        </w:rPr>
        <w:t xml:space="preserve">mafias et des communautés en tout genre. Pour Michel Wievorka, </w:t>
      </w:r>
      <w:r>
        <w:rPr>
          <w:szCs w:val="14"/>
        </w:rPr>
        <w:t>« </w:t>
      </w:r>
      <w:r w:rsidRPr="00BF4073">
        <w:rPr>
          <w:szCs w:val="14"/>
        </w:rPr>
        <w:t>l'ethnicité n'est pas historiquement inéluctable</w:t>
      </w:r>
      <w:r>
        <w:rPr>
          <w:szCs w:val="14"/>
        </w:rPr>
        <w:t> »</w:t>
      </w:r>
      <w:r>
        <w:rPr>
          <w:szCs w:val="16"/>
        </w:rPr>
        <w:t> </w:t>
      </w:r>
      <w:r>
        <w:rPr>
          <w:rStyle w:val="Appelnotedebasdep"/>
          <w:szCs w:val="16"/>
        </w:rPr>
        <w:footnoteReference w:id="35"/>
      </w:r>
      <w:r w:rsidRPr="00BF4073">
        <w:rPr>
          <w:szCs w:val="14"/>
        </w:rPr>
        <w:t>. Mais il ne cons</w:t>
      </w:r>
      <w:r w:rsidRPr="00BF4073">
        <w:rPr>
          <w:szCs w:val="14"/>
        </w:rPr>
        <w:t>i</w:t>
      </w:r>
      <w:r w:rsidRPr="00BF4073">
        <w:rPr>
          <w:szCs w:val="14"/>
        </w:rPr>
        <w:t xml:space="preserve">dère pas moins que c'est la </w:t>
      </w:r>
      <w:r>
        <w:rPr>
          <w:szCs w:val="14"/>
        </w:rPr>
        <w:t>« </w:t>
      </w:r>
      <w:r w:rsidRPr="00BF4073">
        <w:rPr>
          <w:szCs w:val="14"/>
        </w:rPr>
        <w:t>seule réponse acceptable si l'on veut bien se placer du point de vue de ceux pour qui en permanence se conjuguent la marg</w:t>
      </w:r>
      <w:r w:rsidRPr="00BF4073">
        <w:rPr>
          <w:szCs w:val="14"/>
        </w:rPr>
        <w:t>i</w:t>
      </w:r>
      <w:r w:rsidRPr="00BF4073">
        <w:rPr>
          <w:szCs w:val="14"/>
        </w:rPr>
        <w:t>nalité sociale, la discrimination raciale, la limitation des droits civ</w:t>
      </w:r>
      <w:r w:rsidRPr="00BF4073">
        <w:rPr>
          <w:szCs w:val="14"/>
        </w:rPr>
        <w:t>i</w:t>
      </w:r>
      <w:r w:rsidRPr="00BF4073">
        <w:rPr>
          <w:szCs w:val="14"/>
        </w:rPr>
        <w:t>ques ou politiques, la répression, et la référence, voulue ou imposée par le regard de l'autre, à une identité collective</w:t>
      </w:r>
      <w:r>
        <w:rPr>
          <w:szCs w:val="14"/>
        </w:rPr>
        <w:t> »</w:t>
      </w:r>
      <w:r>
        <w:rPr>
          <w:szCs w:val="16"/>
        </w:rPr>
        <w:t> </w:t>
      </w:r>
      <w:r>
        <w:rPr>
          <w:rStyle w:val="Appelnotedebasdep"/>
          <w:szCs w:val="16"/>
        </w:rPr>
        <w:footnoteReference w:id="36"/>
      </w:r>
      <w:r w:rsidRPr="00BF4073">
        <w:rPr>
          <w:szCs w:val="14"/>
        </w:rPr>
        <w:t>. On peut cepe</w:t>
      </w:r>
      <w:r w:rsidRPr="00BF4073">
        <w:rPr>
          <w:szCs w:val="14"/>
        </w:rPr>
        <w:t>n</w:t>
      </w:r>
      <w:r w:rsidRPr="00BF4073">
        <w:rPr>
          <w:szCs w:val="14"/>
        </w:rPr>
        <w:t>dant avoir des réserves sur la voie proposée dans la mesure où l'affi</w:t>
      </w:r>
      <w:r w:rsidRPr="00BF4073">
        <w:rPr>
          <w:szCs w:val="14"/>
        </w:rPr>
        <w:t>r</w:t>
      </w:r>
      <w:r w:rsidRPr="00BF4073">
        <w:rPr>
          <w:szCs w:val="14"/>
        </w:rPr>
        <w:t>mation identitaire sur des bases ethniques ne semble pas le ch</w:t>
      </w:r>
      <w:r w:rsidRPr="00BF4073">
        <w:rPr>
          <w:szCs w:val="14"/>
        </w:rPr>
        <w:t>e</w:t>
      </w:r>
      <w:r w:rsidRPr="00BF4073">
        <w:rPr>
          <w:szCs w:val="14"/>
        </w:rPr>
        <w:t xml:space="preserve">min le plus sûr pour </w:t>
      </w:r>
      <w:r>
        <w:rPr>
          <w:szCs w:val="14"/>
        </w:rPr>
        <w:t>« </w:t>
      </w:r>
      <w:r w:rsidRPr="00BF4073">
        <w:rPr>
          <w:szCs w:val="14"/>
        </w:rPr>
        <w:t>concilier les particularismes de la culture et les valeurs universelles de la raison et de la démocratie</w:t>
      </w:r>
      <w:r>
        <w:rPr>
          <w:szCs w:val="14"/>
        </w:rPr>
        <w:t> »</w:t>
      </w:r>
      <w:r>
        <w:rPr>
          <w:szCs w:val="16"/>
        </w:rPr>
        <w:t> </w:t>
      </w:r>
      <w:r>
        <w:rPr>
          <w:rStyle w:val="Appelnotedebasdep"/>
          <w:szCs w:val="16"/>
        </w:rPr>
        <w:footnoteReference w:id="37"/>
      </w:r>
      <w:r w:rsidRPr="00BF4073">
        <w:rPr>
          <w:szCs w:val="14"/>
        </w:rPr>
        <w:t>.</w:t>
      </w:r>
    </w:p>
    <w:p w14:paraId="0506153A" w14:textId="77777777" w:rsidR="000407A5" w:rsidRPr="00BF4073" w:rsidRDefault="000407A5" w:rsidP="000407A5">
      <w:pPr>
        <w:spacing w:before="120"/>
        <w:jc w:val="both"/>
      </w:pPr>
      <w:r w:rsidRPr="00BF4073">
        <w:rPr>
          <w:szCs w:val="14"/>
        </w:rPr>
        <w:t xml:space="preserve">Le fou et l'immigré sont deux figures tout à fait à part au sein du groupe dans la mesure où ils sont aussi en même temps en extériorité et en opposition vis-à-vis de celui-ci. Cette position </w:t>
      </w:r>
      <w:r>
        <w:rPr>
          <w:szCs w:val="14"/>
        </w:rPr>
        <w:t>« </w:t>
      </w:r>
      <w:r w:rsidRPr="00BF4073">
        <w:rPr>
          <w:szCs w:val="14"/>
        </w:rPr>
        <w:t>d'ennemi de l'i</w:t>
      </w:r>
      <w:r w:rsidRPr="00BF4073">
        <w:rPr>
          <w:szCs w:val="14"/>
        </w:rPr>
        <w:t>n</w:t>
      </w:r>
      <w:r w:rsidRPr="00BF4073">
        <w:rPr>
          <w:szCs w:val="14"/>
        </w:rPr>
        <w:t>térieur</w:t>
      </w:r>
      <w:r>
        <w:rPr>
          <w:szCs w:val="14"/>
        </w:rPr>
        <w:t> »</w:t>
      </w:r>
      <w:r w:rsidRPr="00BF4073">
        <w:rPr>
          <w:szCs w:val="14"/>
        </w:rPr>
        <w:t xml:space="preserve">, le fou et l'immigré la partageaient avec le </w:t>
      </w:r>
      <w:r>
        <w:rPr>
          <w:szCs w:val="14"/>
        </w:rPr>
        <w:t>« </w:t>
      </w:r>
      <w:r w:rsidRPr="00BF4073">
        <w:rPr>
          <w:szCs w:val="14"/>
        </w:rPr>
        <w:t>pauvre</w:t>
      </w:r>
      <w:r>
        <w:rPr>
          <w:szCs w:val="14"/>
        </w:rPr>
        <w:t> »</w:t>
      </w:r>
      <w:r w:rsidRPr="00BF4073">
        <w:rPr>
          <w:szCs w:val="14"/>
        </w:rPr>
        <w:t xml:space="preserve"> du XIX</w:t>
      </w:r>
      <w:r w:rsidRPr="00D66988">
        <w:rPr>
          <w:szCs w:val="14"/>
          <w:vertAlign w:val="superscript"/>
        </w:rPr>
        <w:t>e</w:t>
      </w:r>
      <w:r w:rsidRPr="00BF4073">
        <w:rPr>
          <w:szCs w:val="14"/>
        </w:rPr>
        <w:t xml:space="preserve"> siècle ou encore avec l'ouvrier communiste des années 1950. Le </w:t>
      </w:r>
      <w:r>
        <w:rPr>
          <w:szCs w:val="14"/>
        </w:rPr>
        <w:t>« </w:t>
      </w:r>
      <w:r w:rsidRPr="00BF4073">
        <w:rPr>
          <w:szCs w:val="14"/>
        </w:rPr>
        <w:t>grand enfermement</w:t>
      </w:r>
      <w:r>
        <w:rPr>
          <w:szCs w:val="14"/>
        </w:rPr>
        <w:t> »</w:t>
      </w:r>
      <w:r w:rsidRPr="00BF4073">
        <w:rPr>
          <w:szCs w:val="14"/>
        </w:rPr>
        <w:t xml:space="preserve"> des aliénés est contemporain de la stigmatis</w:t>
      </w:r>
      <w:r w:rsidRPr="00BF4073">
        <w:rPr>
          <w:szCs w:val="14"/>
        </w:rPr>
        <w:t>a</w:t>
      </w:r>
      <w:r w:rsidRPr="00BF4073">
        <w:rPr>
          <w:szCs w:val="14"/>
        </w:rPr>
        <w:t xml:space="preserve">tion des pauvres et de la classe laborieuse d'une manière générale, comme </w:t>
      </w:r>
      <w:r>
        <w:rPr>
          <w:szCs w:val="14"/>
        </w:rPr>
        <w:t>« </w:t>
      </w:r>
      <w:r w:rsidRPr="00BF4073">
        <w:rPr>
          <w:szCs w:val="14"/>
        </w:rPr>
        <w:t>classe dangereuse</w:t>
      </w:r>
      <w:r>
        <w:rPr>
          <w:szCs w:val="14"/>
        </w:rPr>
        <w:t> »</w:t>
      </w:r>
      <w:r w:rsidRPr="00BF4073">
        <w:rPr>
          <w:szCs w:val="14"/>
        </w:rPr>
        <w:t xml:space="preserve">. Cependant le fou est </w:t>
      </w:r>
      <w:r w:rsidRPr="00BF4073">
        <w:rPr>
          <w:i/>
          <w:iCs/>
          <w:szCs w:val="14"/>
        </w:rPr>
        <w:t xml:space="preserve">à part </w:t>
      </w:r>
      <w:r>
        <w:rPr>
          <w:szCs w:val="14"/>
        </w:rPr>
        <w:t>aussi parce qu’</w:t>
      </w:r>
      <w:r w:rsidRPr="00BF4073">
        <w:rPr>
          <w:szCs w:val="14"/>
        </w:rPr>
        <w:t>invisible, parce qu'enfermé</w:t>
      </w:r>
      <w:r>
        <w:rPr>
          <w:szCs w:val="14"/>
        </w:rPr>
        <w:t> ;</w:t>
      </w:r>
      <w:r w:rsidRPr="00BF4073">
        <w:rPr>
          <w:szCs w:val="14"/>
        </w:rPr>
        <w:t xml:space="preserve"> mais, même en liberté, placé auprès de familles nourricières, il est non seulement exclu des droits civils (l'exclusion dépasse même ici les seuls droits politiques)</w:t>
      </w:r>
      <w:r>
        <w:rPr>
          <w:szCs w:val="16"/>
        </w:rPr>
        <w:t> </w:t>
      </w:r>
      <w:r>
        <w:rPr>
          <w:rStyle w:val="Appelnotedebasdep"/>
          <w:szCs w:val="16"/>
        </w:rPr>
        <w:footnoteReference w:id="38"/>
      </w:r>
      <w:r w:rsidRPr="00BF4073">
        <w:rPr>
          <w:szCs w:val="14"/>
        </w:rPr>
        <w:t>, mais aussi exclu de la communauté villageoise, repoussé sur ses marges par la violence des représentations. L'immigré prendra la suite de ces figures répulsives. En particulier en France où l'immigré est finalement aussi l'ouvrier par excellence</w:t>
      </w:r>
      <w:r>
        <w:rPr>
          <w:szCs w:val="16"/>
        </w:rPr>
        <w:t> </w:t>
      </w:r>
      <w:r>
        <w:rPr>
          <w:rStyle w:val="Appelnotedebasdep"/>
          <w:szCs w:val="16"/>
        </w:rPr>
        <w:footnoteReference w:id="39"/>
      </w:r>
      <w:r w:rsidRPr="00BF4073">
        <w:rPr>
          <w:szCs w:val="14"/>
        </w:rPr>
        <w:t>. Il partage avec ce dernier le fait d'être s</w:t>
      </w:r>
      <w:r w:rsidRPr="00BF4073">
        <w:rPr>
          <w:szCs w:val="14"/>
        </w:rPr>
        <w:t>o</w:t>
      </w:r>
      <w:r w:rsidRPr="00BF4073">
        <w:rPr>
          <w:szCs w:val="14"/>
        </w:rPr>
        <w:t>cialement et politiquement dominé au sein d'un monde inégalitaire. Le pauvre du début du XIX</w:t>
      </w:r>
      <w:r w:rsidRPr="00D66988">
        <w:rPr>
          <w:szCs w:val="14"/>
          <w:vertAlign w:val="superscript"/>
        </w:rPr>
        <w:t>e</w:t>
      </w:r>
      <w:r w:rsidRPr="00BF4073">
        <w:rPr>
          <w:szCs w:val="14"/>
        </w:rPr>
        <w:t xml:space="preserve"> siècle était exclu du suffrage électoral cens</w:t>
      </w:r>
      <w:r w:rsidRPr="00BF4073">
        <w:rPr>
          <w:szCs w:val="14"/>
        </w:rPr>
        <w:t>i</w:t>
      </w:r>
      <w:r w:rsidRPr="00BF4073">
        <w:rPr>
          <w:szCs w:val="14"/>
        </w:rPr>
        <w:t>taire parce qu'il était pauvre,  de même</w:t>
      </w:r>
      <w:r>
        <w:t xml:space="preserve"> </w:t>
      </w:r>
      <w:r w:rsidRPr="00BF4073">
        <w:rPr>
          <w:szCs w:val="14"/>
        </w:rPr>
        <w:t>l'immigré d'aujourd'hui en est exclu parce qu'il est immigré (donc en principe non-national). Seul l'arbitraire du droit peut</w:t>
      </w:r>
      <w:r>
        <w:rPr>
          <w:szCs w:val="14"/>
        </w:rPr>
        <w:t xml:space="preserve"> </w:t>
      </w:r>
      <w:r w:rsidRPr="00BF4073">
        <w:rPr>
          <w:szCs w:val="14"/>
        </w:rPr>
        <w:t>justifier ces exclusions. Finalement le malade mental et l'immigré ont en commun le fait que l'un et l'autre appa</w:t>
      </w:r>
      <w:r w:rsidRPr="00BF4073">
        <w:rPr>
          <w:szCs w:val="14"/>
        </w:rPr>
        <w:t>r</w:t>
      </w:r>
      <w:r w:rsidRPr="00BF4073">
        <w:rPr>
          <w:szCs w:val="14"/>
        </w:rPr>
        <w:t xml:space="preserve">tiennent bien au groupe, mais </w:t>
      </w:r>
      <w:r w:rsidRPr="00BF4073">
        <w:rPr>
          <w:i/>
          <w:iCs/>
          <w:szCs w:val="14"/>
        </w:rPr>
        <w:t xml:space="preserve">en même temps </w:t>
      </w:r>
      <w:r w:rsidRPr="00BF4073">
        <w:rPr>
          <w:szCs w:val="14"/>
        </w:rPr>
        <w:t>ils en sont exclus, r</w:t>
      </w:r>
      <w:r w:rsidRPr="00BF4073">
        <w:rPr>
          <w:szCs w:val="14"/>
        </w:rPr>
        <w:t>e</w:t>
      </w:r>
      <w:r w:rsidRPr="00BF4073">
        <w:rPr>
          <w:szCs w:val="14"/>
        </w:rPr>
        <w:t>poussés aux marges de celui-ci. Le fou et l'immigré (d'autant plus lorsqu'il est originaire</w:t>
      </w:r>
      <w:r>
        <w:rPr>
          <w:szCs w:val="14"/>
        </w:rPr>
        <w:t xml:space="preserve"> d'un ailleurs lointain, géogra</w:t>
      </w:r>
      <w:r w:rsidRPr="00BF4073">
        <w:rPr>
          <w:szCs w:val="14"/>
        </w:rPr>
        <w:t>phiquement et su</w:t>
      </w:r>
      <w:r w:rsidRPr="00BF4073">
        <w:rPr>
          <w:szCs w:val="14"/>
        </w:rPr>
        <w:t>r</w:t>
      </w:r>
      <w:r w:rsidRPr="00BF4073">
        <w:rPr>
          <w:szCs w:val="14"/>
        </w:rPr>
        <w:t>tout culturellement) apparaissent en outre comme des figures abstra</w:t>
      </w:r>
      <w:r w:rsidRPr="00BF4073">
        <w:rPr>
          <w:szCs w:val="14"/>
        </w:rPr>
        <w:t>i</w:t>
      </w:r>
      <w:r w:rsidRPr="00BF4073">
        <w:rPr>
          <w:szCs w:val="14"/>
        </w:rPr>
        <w:t>tes et non comme des personnes</w:t>
      </w:r>
      <w:r>
        <w:rPr>
          <w:szCs w:val="14"/>
        </w:rPr>
        <w:t> ;</w:t>
      </w:r>
      <w:r w:rsidRPr="00BF4073">
        <w:rPr>
          <w:szCs w:val="14"/>
        </w:rPr>
        <w:t xml:space="preserve"> les repr</w:t>
      </w:r>
      <w:r w:rsidRPr="00BF4073">
        <w:rPr>
          <w:szCs w:val="14"/>
        </w:rPr>
        <w:t>é</w:t>
      </w:r>
      <w:r w:rsidRPr="00BF4073">
        <w:rPr>
          <w:szCs w:val="14"/>
        </w:rPr>
        <w:t>sentations de ces figures tendent à aller de soi, elles s'imposent comme évidentes et sont larg</w:t>
      </w:r>
      <w:r w:rsidRPr="00BF4073">
        <w:rPr>
          <w:szCs w:val="14"/>
        </w:rPr>
        <w:t>e</w:t>
      </w:r>
      <w:r w:rsidRPr="00BF4073">
        <w:rPr>
          <w:szCs w:val="14"/>
        </w:rPr>
        <w:t>ment partagées. Et elles expliquent ainsi à la fois la banalité et la p</w:t>
      </w:r>
      <w:r w:rsidRPr="00BF4073">
        <w:rPr>
          <w:szCs w:val="14"/>
        </w:rPr>
        <w:t>e</w:t>
      </w:r>
      <w:r w:rsidRPr="00BF4073">
        <w:rPr>
          <w:szCs w:val="14"/>
        </w:rPr>
        <w:t>santeur du racisme ordinaire.</w:t>
      </w:r>
    </w:p>
    <w:p w14:paraId="5568F417" w14:textId="77777777" w:rsidR="000407A5" w:rsidRDefault="000407A5" w:rsidP="000407A5">
      <w:pPr>
        <w:spacing w:before="120"/>
        <w:jc w:val="both"/>
        <w:rPr>
          <w:szCs w:val="18"/>
        </w:rPr>
      </w:pPr>
    </w:p>
    <w:p w14:paraId="3668F2A9" w14:textId="77777777" w:rsidR="000407A5" w:rsidRDefault="000407A5" w:rsidP="000407A5">
      <w:pPr>
        <w:jc w:val="both"/>
      </w:pPr>
      <w:r w:rsidRPr="003F76B5">
        <w:rPr>
          <w:b/>
          <w:color w:val="FF0000"/>
        </w:rPr>
        <w:t>NOTES</w:t>
      </w:r>
    </w:p>
    <w:p w14:paraId="7331FF8E" w14:textId="77777777" w:rsidR="000407A5" w:rsidRDefault="000407A5" w:rsidP="000407A5">
      <w:pPr>
        <w:jc w:val="both"/>
      </w:pPr>
    </w:p>
    <w:p w14:paraId="6025D356" w14:textId="77777777" w:rsidR="000407A5" w:rsidRPr="00E07116" w:rsidRDefault="000407A5" w:rsidP="000407A5">
      <w:pPr>
        <w:jc w:val="both"/>
      </w:pPr>
      <w:r>
        <w:t>Pour faciliter la consultation des notes en fin de textes, nous les avons toutes converties, dans cette édition numérique des Classiques des sciences sociales, en notes de bas de page. JMT.</w:t>
      </w:r>
    </w:p>
    <w:p w14:paraId="262961AF" w14:textId="77777777" w:rsidR="000407A5" w:rsidRDefault="000407A5" w:rsidP="000407A5">
      <w:pPr>
        <w:spacing w:before="120"/>
        <w:jc w:val="both"/>
        <w:rPr>
          <w:szCs w:val="14"/>
        </w:rPr>
      </w:pPr>
    </w:p>
    <w:p w14:paraId="1C954F71" w14:textId="77777777" w:rsidR="000407A5" w:rsidRPr="00BF4073" w:rsidRDefault="000407A5" w:rsidP="000407A5">
      <w:pPr>
        <w:spacing w:before="120"/>
        <w:jc w:val="both"/>
        <w:rPr>
          <w:szCs w:val="2"/>
        </w:rPr>
      </w:pPr>
      <w:r>
        <w:rPr>
          <w:szCs w:val="14"/>
        </w:rPr>
        <w:t>[161]</w:t>
      </w:r>
    </w:p>
    <w:p w14:paraId="271565DD" w14:textId="77777777" w:rsidR="000407A5" w:rsidRDefault="000407A5" w:rsidP="000407A5">
      <w:pPr>
        <w:jc w:val="both"/>
      </w:pPr>
    </w:p>
    <w:p w14:paraId="7AF19185" w14:textId="77777777" w:rsidR="000407A5" w:rsidRPr="00E07116" w:rsidRDefault="000407A5" w:rsidP="000407A5">
      <w:pPr>
        <w:jc w:val="both"/>
      </w:pPr>
    </w:p>
    <w:p w14:paraId="20688B09" w14:textId="77777777" w:rsidR="000407A5" w:rsidRPr="00E07116" w:rsidRDefault="000407A5" w:rsidP="000407A5">
      <w:pPr>
        <w:pStyle w:val="suite"/>
      </w:pPr>
      <w:r w:rsidRPr="00E07116">
        <w:t>Fin du texte</w:t>
      </w:r>
    </w:p>
    <w:p w14:paraId="65AAAB83" w14:textId="77777777" w:rsidR="000407A5" w:rsidRPr="00E07116" w:rsidRDefault="000407A5" w:rsidP="000407A5">
      <w:pPr>
        <w:jc w:val="both"/>
      </w:pPr>
    </w:p>
    <w:sectPr w:rsidR="000407A5" w:rsidRPr="00E07116" w:rsidSect="000407A5">
      <w:headerReference w:type="default" r:id="rId25"/>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061D2" w14:textId="77777777" w:rsidR="009665DC" w:rsidRDefault="009665DC">
      <w:r>
        <w:separator/>
      </w:r>
    </w:p>
  </w:endnote>
  <w:endnote w:type="continuationSeparator" w:id="0">
    <w:p w14:paraId="22199CBE" w14:textId="77777777" w:rsidR="009665DC" w:rsidRDefault="00966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GillSans">
    <w:panose1 w:val="020B0502020104020203"/>
    <w:charset w:val="B1"/>
    <w:family w:val="swiss"/>
    <w:pitch w:val="variable"/>
    <w:sig w:usb0="80000A67" w:usb1="00000000" w:usb2="00000000" w:usb3="00000000" w:csb0="000001F7"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B Times Bold">
    <w:panose1 w:val="020B0604020202020204"/>
    <w:charset w:val="00"/>
    <w:family w:val="auto"/>
    <w:pitch w:val="variable"/>
    <w:sig w:usb0="00000003" w:usb1="00000000" w:usb2="00000000" w:usb3="00000000" w:csb0="00000001" w:csb1="00000000"/>
  </w:font>
  <w:font w:name="AppleGothic">
    <w:panose1 w:val="00000000000000000000"/>
    <w:charset w:val="81"/>
    <w:family w:val="auto"/>
    <w:pitch w:val="variable"/>
    <w:sig w:usb0="00000001" w:usb1="09060000" w:usb2="00000010" w:usb3="00000000" w:csb0="00280001" w:csb1="00000000"/>
  </w:font>
  <w:font w:name="AppleMyungjo">
    <w:panose1 w:val="00000000000000000000"/>
    <w:charset w:val="81"/>
    <w:family w:val="auto"/>
    <w:pitch w:val="variable"/>
    <w:sig w:usb0="00000001" w:usb1="09060000" w:usb2="00000010" w:usb3="00000000" w:csb0="0028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56BE1" w14:textId="77777777" w:rsidR="009665DC" w:rsidRDefault="009665DC">
      <w:pPr>
        <w:ind w:firstLine="0"/>
      </w:pPr>
      <w:r>
        <w:separator/>
      </w:r>
    </w:p>
  </w:footnote>
  <w:footnote w:type="continuationSeparator" w:id="0">
    <w:p w14:paraId="2EFA6C44" w14:textId="77777777" w:rsidR="009665DC" w:rsidRDefault="009665DC">
      <w:pPr>
        <w:ind w:firstLine="0"/>
      </w:pPr>
      <w:r>
        <w:separator/>
      </w:r>
    </w:p>
  </w:footnote>
  <w:footnote w:id="1">
    <w:p w14:paraId="44A4F61C" w14:textId="77777777" w:rsidR="000407A5" w:rsidRDefault="000407A5" w:rsidP="000407A5">
      <w:pPr>
        <w:pStyle w:val="Notedebasdepage"/>
      </w:pPr>
      <w:r>
        <w:rPr>
          <w:rStyle w:val="Appelnotedebasdep"/>
        </w:rPr>
        <w:footnoteRef/>
      </w:r>
      <w:r>
        <w:t xml:space="preserve"> </w:t>
      </w:r>
      <w:r>
        <w:tab/>
      </w:r>
      <w:r w:rsidRPr="00BF4073">
        <w:rPr>
          <w:szCs w:val="14"/>
        </w:rPr>
        <w:t xml:space="preserve">Brigitte Fichet, </w:t>
      </w:r>
      <w:r>
        <w:rPr>
          <w:szCs w:val="14"/>
        </w:rPr>
        <w:t>« </w:t>
      </w:r>
      <w:r w:rsidRPr="00BF4073">
        <w:rPr>
          <w:szCs w:val="14"/>
        </w:rPr>
        <w:t>Etrangers et immigrés, deux termes problém</w:t>
      </w:r>
      <w:r w:rsidRPr="00BF4073">
        <w:rPr>
          <w:szCs w:val="14"/>
        </w:rPr>
        <w:t>a</w:t>
      </w:r>
      <w:r w:rsidRPr="00BF4073">
        <w:rPr>
          <w:szCs w:val="14"/>
        </w:rPr>
        <w:t>tiques</w:t>
      </w:r>
      <w:r>
        <w:rPr>
          <w:szCs w:val="14"/>
        </w:rPr>
        <w:t> »</w:t>
      </w:r>
      <w:r w:rsidRPr="00BF4073">
        <w:rPr>
          <w:szCs w:val="14"/>
        </w:rPr>
        <w:t xml:space="preserve">, Juan Matas, </w:t>
      </w:r>
      <w:r>
        <w:rPr>
          <w:szCs w:val="14"/>
        </w:rPr>
        <w:t>« </w:t>
      </w:r>
      <w:r w:rsidRPr="00BF4073">
        <w:rPr>
          <w:szCs w:val="14"/>
        </w:rPr>
        <w:t>Processus d'intégration, des populations d'origine immigrée et mult</w:t>
      </w:r>
      <w:r w:rsidRPr="00BF4073">
        <w:rPr>
          <w:szCs w:val="14"/>
        </w:rPr>
        <w:t>i</w:t>
      </w:r>
      <w:r w:rsidRPr="00BF4073">
        <w:rPr>
          <w:szCs w:val="14"/>
        </w:rPr>
        <w:t>culturalisme</w:t>
      </w:r>
      <w:r>
        <w:rPr>
          <w:szCs w:val="14"/>
        </w:rPr>
        <w:t> »</w:t>
      </w:r>
      <w:r w:rsidRPr="00BF4073">
        <w:rPr>
          <w:szCs w:val="14"/>
        </w:rPr>
        <w:t xml:space="preserve">, et Léon Strauss, </w:t>
      </w:r>
      <w:r>
        <w:rPr>
          <w:szCs w:val="14"/>
        </w:rPr>
        <w:t>« </w:t>
      </w:r>
      <w:r w:rsidRPr="00BF4073">
        <w:rPr>
          <w:szCs w:val="14"/>
        </w:rPr>
        <w:t>Entre l'imaginaire et le réel, les représent</w:t>
      </w:r>
      <w:r w:rsidRPr="00BF4073">
        <w:rPr>
          <w:szCs w:val="14"/>
        </w:rPr>
        <w:t>a</w:t>
      </w:r>
      <w:r w:rsidRPr="00BF4073">
        <w:rPr>
          <w:szCs w:val="14"/>
        </w:rPr>
        <w:t>tions de l'immigré dans les Dernières Nouvelles d'Alsace depuis 1950</w:t>
      </w:r>
      <w:r>
        <w:rPr>
          <w:szCs w:val="14"/>
        </w:rPr>
        <w:t> »</w:t>
      </w:r>
      <w:r w:rsidRPr="00BF4073">
        <w:rPr>
          <w:szCs w:val="14"/>
        </w:rPr>
        <w:t xml:space="preserve">, </w:t>
      </w:r>
      <w:r w:rsidRPr="00BF4073">
        <w:rPr>
          <w:i/>
          <w:iCs/>
          <w:szCs w:val="14"/>
        </w:rPr>
        <w:t>R</w:t>
      </w:r>
      <w:r w:rsidRPr="00BF4073">
        <w:rPr>
          <w:i/>
          <w:iCs/>
          <w:szCs w:val="14"/>
        </w:rPr>
        <w:t>e</w:t>
      </w:r>
      <w:r w:rsidRPr="00BF4073">
        <w:rPr>
          <w:i/>
          <w:iCs/>
          <w:szCs w:val="14"/>
        </w:rPr>
        <w:t xml:space="preserve">vue des sciences sociales de la France de l'Est, </w:t>
      </w:r>
      <w:r w:rsidRPr="00BF4073">
        <w:rPr>
          <w:szCs w:val="14"/>
        </w:rPr>
        <w:t>n°20, 1992/1993.</w:t>
      </w:r>
    </w:p>
  </w:footnote>
  <w:footnote w:id="2">
    <w:p w14:paraId="07826884" w14:textId="77777777" w:rsidR="000407A5" w:rsidRDefault="000407A5" w:rsidP="000407A5">
      <w:pPr>
        <w:pStyle w:val="Notedebasdepage"/>
      </w:pPr>
      <w:r>
        <w:rPr>
          <w:rStyle w:val="Appelnotedebasdep"/>
        </w:rPr>
        <w:footnoteRef/>
      </w:r>
      <w:r>
        <w:t xml:space="preserve"> </w:t>
      </w:r>
      <w:r>
        <w:tab/>
      </w:r>
      <w:r w:rsidRPr="00BF4073">
        <w:rPr>
          <w:szCs w:val="14"/>
        </w:rPr>
        <w:t xml:space="preserve">Jodelet Denise, </w:t>
      </w:r>
      <w:r w:rsidRPr="00BF4073">
        <w:rPr>
          <w:i/>
          <w:iCs/>
          <w:szCs w:val="14"/>
        </w:rPr>
        <w:t xml:space="preserve">Folies et représentations sociales, </w:t>
      </w:r>
      <w:r w:rsidRPr="00BF4073">
        <w:rPr>
          <w:szCs w:val="14"/>
        </w:rPr>
        <w:t>Paris, PUF, 1989.</w:t>
      </w:r>
      <w:r>
        <w:rPr>
          <w:szCs w:val="14"/>
        </w:rPr>
        <w:br/>
      </w:r>
      <w:hyperlink r:id="rId1" w:history="1">
        <w:r w:rsidRPr="00A5444F">
          <w:rPr>
            <w:rStyle w:val="Hyperlien"/>
            <w:szCs w:val="24"/>
          </w:rPr>
          <w:t>http://dx.doi.org/doi:10.1522/030110944</w:t>
        </w:r>
      </w:hyperlink>
      <w:r>
        <w:rPr>
          <w:rStyle w:val="lev"/>
          <w:szCs w:val="24"/>
        </w:rPr>
        <w:t xml:space="preserve"> </w:t>
      </w:r>
    </w:p>
  </w:footnote>
  <w:footnote w:id="3">
    <w:p w14:paraId="30F04959" w14:textId="77777777" w:rsidR="000407A5" w:rsidRDefault="000407A5" w:rsidP="000407A5">
      <w:pPr>
        <w:pStyle w:val="Notedebasdepage"/>
      </w:pPr>
      <w:r>
        <w:rPr>
          <w:rStyle w:val="Appelnotedebasdep"/>
        </w:rPr>
        <w:footnoteRef/>
      </w:r>
      <w:r>
        <w:t xml:space="preserve"> </w:t>
      </w:r>
      <w:r>
        <w:tab/>
      </w:r>
      <w:r w:rsidRPr="00BF4073">
        <w:rPr>
          <w:szCs w:val="14"/>
        </w:rPr>
        <w:t xml:space="preserve">Sayad Abdelmalek, </w:t>
      </w:r>
      <w:r w:rsidRPr="00BF4073">
        <w:rPr>
          <w:i/>
          <w:iCs/>
          <w:szCs w:val="14"/>
        </w:rPr>
        <w:t>L'immigration ou les</w:t>
      </w:r>
      <w:r>
        <w:rPr>
          <w:i/>
          <w:iCs/>
          <w:szCs w:val="14"/>
        </w:rPr>
        <w:t xml:space="preserve"> </w:t>
      </w:r>
      <w:r w:rsidRPr="00BF4073">
        <w:rPr>
          <w:i/>
          <w:iCs/>
          <w:szCs w:val="14"/>
        </w:rPr>
        <w:t xml:space="preserve">paradoxes de l'altérité, </w:t>
      </w:r>
      <w:r w:rsidRPr="00BF4073">
        <w:rPr>
          <w:szCs w:val="14"/>
        </w:rPr>
        <w:t>Bruxelles, De Boeck, 1991.</w:t>
      </w:r>
    </w:p>
  </w:footnote>
  <w:footnote w:id="4">
    <w:p w14:paraId="0D3ABA6B" w14:textId="77777777" w:rsidR="000407A5" w:rsidRDefault="000407A5">
      <w:pPr>
        <w:pStyle w:val="Notedebasdepage"/>
      </w:pPr>
      <w:r>
        <w:rPr>
          <w:rStyle w:val="Appelnotedebasdep"/>
        </w:rPr>
        <w:footnoteRef/>
      </w:r>
      <w:r>
        <w:t xml:space="preserve"> </w:t>
      </w:r>
      <w:r>
        <w:tab/>
      </w:r>
      <w:r w:rsidRPr="00BF4073">
        <w:rPr>
          <w:szCs w:val="14"/>
        </w:rPr>
        <w:t xml:space="preserve">G. Simmel, </w:t>
      </w:r>
      <w:r>
        <w:rPr>
          <w:i/>
          <w:iCs/>
          <w:szCs w:val="14"/>
        </w:rPr>
        <w:t>« </w:t>
      </w:r>
      <w:r w:rsidRPr="00BF4073">
        <w:rPr>
          <w:i/>
          <w:iCs/>
          <w:szCs w:val="14"/>
        </w:rPr>
        <w:t>Digression sur l'étranger</w:t>
      </w:r>
      <w:r>
        <w:rPr>
          <w:i/>
          <w:iCs/>
          <w:szCs w:val="14"/>
        </w:rPr>
        <w:t> »</w:t>
      </w:r>
      <w:r w:rsidRPr="00BF4073">
        <w:rPr>
          <w:i/>
          <w:iCs/>
          <w:szCs w:val="14"/>
        </w:rPr>
        <w:t xml:space="preserve">, </w:t>
      </w:r>
      <w:r w:rsidRPr="00BF4073">
        <w:rPr>
          <w:szCs w:val="14"/>
        </w:rPr>
        <w:t>in Grafmeyer et J</w:t>
      </w:r>
      <w:r w:rsidRPr="00BF4073">
        <w:rPr>
          <w:szCs w:val="14"/>
        </w:rPr>
        <w:t>o</w:t>
      </w:r>
      <w:r w:rsidRPr="00BF4073">
        <w:rPr>
          <w:szCs w:val="14"/>
        </w:rPr>
        <w:t xml:space="preserve">seph, </w:t>
      </w:r>
      <w:r w:rsidRPr="00BF4073">
        <w:rPr>
          <w:i/>
          <w:iCs/>
          <w:szCs w:val="14"/>
        </w:rPr>
        <w:t xml:space="preserve">L'école de Chicago, </w:t>
      </w:r>
      <w:r w:rsidRPr="00BF4073">
        <w:rPr>
          <w:szCs w:val="14"/>
        </w:rPr>
        <w:t>Paris, Aubier-Montaigne, 1982. (public</w:t>
      </w:r>
      <w:r w:rsidRPr="00BF4073">
        <w:rPr>
          <w:szCs w:val="14"/>
        </w:rPr>
        <w:t>a</w:t>
      </w:r>
      <w:r w:rsidRPr="00BF4073">
        <w:rPr>
          <w:szCs w:val="14"/>
        </w:rPr>
        <w:t>tion originale de ce texte</w:t>
      </w:r>
      <w:r>
        <w:rPr>
          <w:szCs w:val="14"/>
        </w:rPr>
        <w:t> :</w:t>
      </w:r>
      <w:r w:rsidRPr="00BF4073">
        <w:rPr>
          <w:szCs w:val="14"/>
        </w:rPr>
        <w:t xml:space="preserve"> 1908). Voir aussi l'article d'Otthein Ram</w:t>
      </w:r>
      <w:r w:rsidRPr="00BF4073">
        <w:rPr>
          <w:szCs w:val="14"/>
        </w:rPr>
        <w:t>m</w:t>
      </w:r>
      <w:r w:rsidRPr="00BF4073">
        <w:rPr>
          <w:szCs w:val="14"/>
        </w:rPr>
        <w:t>stedt consacré à la genèse du texte de Simmel dans ce numéro.</w:t>
      </w:r>
    </w:p>
  </w:footnote>
  <w:footnote w:id="5">
    <w:p w14:paraId="210E619B" w14:textId="77777777" w:rsidR="000407A5" w:rsidRDefault="000407A5" w:rsidP="000407A5">
      <w:pPr>
        <w:pStyle w:val="Notedebasdepage"/>
      </w:pPr>
      <w:r>
        <w:rPr>
          <w:rStyle w:val="Appelnotedebasdep"/>
        </w:rPr>
        <w:footnoteRef/>
      </w:r>
      <w:r>
        <w:t xml:space="preserve"> </w:t>
      </w:r>
      <w:r>
        <w:tab/>
      </w:r>
      <w:r w:rsidRPr="00BF4073">
        <w:rPr>
          <w:szCs w:val="14"/>
        </w:rPr>
        <w:t xml:space="preserve">Freddy Raphaël, </w:t>
      </w:r>
      <w:r>
        <w:rPr>
          <w:i/>
          <w:iCs/>
          <w:szCs w:val="14"/>
        </w:rPr>
        <w:t>« </w:t>
      </w:r>
      <w:r w:rsidRPr="00BF4073">
        <w:rPr>
          <w:i/>
          <w:iCs/>
          <w:szCs w:val="14"/>
        </w:rPr>
        <w:t>L'Etranger</w:t>
      </w:r>
      <w:r>
        <w:rPr>
          <w:i/>
          <w:iCs/>
          <w:szCs w:val="14"/>
        </w:rPr>
        <w:t xml:space="preserve"> </w:t>
      </w:r>
      <w:r w:rsidRPr="00BF4073">
        <w:rPr>
          <w:i/>
          <w:iCs/>
          <w:szCs w:val="14"/>
        </w:rPr>
        <w:t>de G. Simmel</w:t>
      </w:r>
      <w:r>
        <w:rPr>
          <w:i/>
          <w:iCs/>
          <w:szCs w:val="14"/>
        </w:rPr>
        <w:t> »</w:t>
      </w:r>
      <w:r w:rsidRPr="00BF4073">
        <w:rPr>
          <w:i/>
          <w:iCs/>
          <w:szCs w:val="14"/>
        </w:rPr>
        <w:t xml:space="preserve"> </w:t>
      </w:r>
      <w:r w:rsidRPr="00BF4073">
        <w:rPr>
          <w:szCs w:val="14"/>
        </w:rPr>
        <w:t xml:space="preserve">in </w:t>
      </w:r>
      <w:r w:rsidRPr="00BF4073">
        <w:rPr>
          <w:i/>
          <w:iCs/>
          <w:szCs w:val="14"/>
        </w:rPr>
        <w:t xml:space="preserve">Georg Simmel, la sociologie et l'expérience du monde moderne, </w:t>
      </w:r>
      <w:r w:rsidRPr="00BF4073">
        <w:rPr>
          <w:szCs w:val="14"/>
        </w:rPr>
        <w:t>sous la direction de Patrick Watier, Paris, Méridiens-Klincksieck, 1986, pages 257 à 278.</w:t>
      </w:r>
    </w:p>
  </w:footnote>
  <w:footnote w:id="6">
    <w:p w14:paraId="3FC33CC4" w14:textId="77777777" w:rsidR="000407A5" w:rsidRDefault="000407A5" w:rsidP="000407A5">
      <w:pPr>
        <w:pStyle w:val="Notedebasdepage"/>
      </w:pPr>
      <w:r>
        <w:rPr>
          <w:rStyle w:val="Appelnotedebasdep"/>
        </w:rPr>
        <w:footnoteRef/>
      </w:r>
      <w:r>
        <w:t xml:space="preserve"> </w:t>
      </w:r>
      <w:r>
        <w:tab/>
      </w:r>
      <w:r w:rsidRPr="00BF4073">
        <w:rPr>
          <w:szCs w:val="14"/>
        </w:rPr>
        <w:t>Jodelet Denise, op. cit.</w:t>
      </w:r>
    </w:p>
  </w:footnote>
  <w:footnote w:id="7">
    <w:p w14:paraId="3FFF13A7" w14:textId="77777777" w:rsidR="000407A5" w:rsidRDefault="000407A5" w:rsidP="000407A5">
      <w:pPr>
        <w:pStyle w:val="Notedebasdepage"/>
      </w:pPr>
      <w:r>
        <w:rPr>
          <w:rStyle w:val="Appelnotedebasdep"/>
        </w:rPr>
        <w:footnoteRef/>
      </w:r>
      <w:r>
        <w:t xml:space="preserve"> </w:t>
      </w:r>
      <w:r>
        <w:tab/>
      </w:r>
      <w:r>
        <w:rPr>
          <w:szCs w:val="14"/>
        </w:rPr>
        <w:t xml:space="preserve">Durkheim, Émile, </w:t>
      </w:r>
      <w:r>
        <w:rPr>
          <w:i/>
          <w:szCs w:val="14"/>
        </w:rPr>
        <w:t>Les formes élémentaires de la vie religieuse</w:t>
      </w:r>
      <w:r>
        <w:rPr>
          <w:szCs w:val="14"/>
        </w:rPr>
        <w:t>. Paris, PUF, 1968 (1</w:t>
      </w:r>
      <w:r w:rsidRPr="00D66988">
        <w:rPr>
          <w:szCs w:val="14"/>
          <w:vertAlign w:val="superscript"/>
        </w:rPr>
        <w:t>re</w:t>
      </w:r>
      <w:r>
        <w:rPr>
          <w:szCs w:val="14"/>
        </w:rPr>
        <w:t xml:space="preserve"> édition, 1912). Cité par Denise Jodelet, op.cit.</w:t>
      </w:r>
      <w:r>
        <w:rPr>
          <w:szCs w:val="14"/>
        </w:rPr>
        <w:br/>
      </w:r>
      <w:hyperlink r:id="rId2" w:history="1">
        <w:r w:rsidRPr="00A5444F">
          <w:rPr>
            <w:rStyle w:val="Hyperlien"/>
            <w:szCs w:val="24"/>
          </w:rPr>
          <w:t>http://dx.doi.org/doi:10.1522/cla.due.for2</w:t>
        </w:r>
      </w:hyperlink>
      <w:r>
        <w:rPr>
          <w:rStyle w:val="lev"/>
          <w:szCs w:val="24"/>
        </w:rPr>
        <w:t xml:space="preserve"> </w:t>
      </w:r>
    </w:p>
  </w:footnote>
  <w:footnote w:id="8">
    <w:p w14:paraId="37A1CF73" w14:textId="77777777" w:rsidR="000407A5" w:rsidRDefault="000407A5" w:rsidP="000407A5">
      <w:pPr>
        <w:pStyle w:val="Notedebasdepage"/>
      </w:pPr>
      <w:r>
        <w:rPr>
          <w:rStyle w:val="Appelnotedebasdep"/>
        </w:rPr>
        <w:footnoteRef/>
      </w:r>
      <w:r>
        <w:t xml:space="preserve"> </w:t>
      </w:r>
      <w:r>
        <w:tab/>
      </w:r>
      <w:r w:rsidRPr="00BF4073">
        <w:rPr>
          <w:szCs w:val="14"/>
        </w:rPr>
        <w:t>L'inventeur du concept de distance sociale, le sociologue amér</w:t>
      </w:r>
      <w:r w:rsidRPr="00BF4073">
        <w:rPr>
          <w:szCs w:val="14"/>
        </w:rPr>
        <w:t>i</w:t>
      </w:r>
      <w:r w:rsidRPr="00BF4073">
        <w:rPr>
          <w:szCs w:val="14"/>
        </w:rPr>
        <w:t>cain, fondateur de l'école de Chicago, Park a souligné que la distance sociale était la cons</w:t>
      </w:r>
      <w:r w:rsidRPr="00BF4073">
        <w:rPr>
          <w:szCs w:val="14"/>
        </w:rPr>
        <w:t>é</w:t>
      </w:r>
      <w:r w:rsidRPr="00BF4073">
        <w:rPr>
          <w:szCs w:val="14"/>
        </w:rPr>
        <w:t>quence historique de la cohabitation entre groupes ethniques ou nationaux di</w:t>
      </w:r>
      <w:r w:rsidRPr="00BF4073">
        <w:rPr>
          <w:szCs w:val="14"/>
        </w:rPr>
        <w:t>f</w:t>
      </w:r>
      <w:r w:rsidRPr="00BF4073">
        <w:rPr>
          <w:szCs w:val="14"/>
        </w:rPr>
        <w:t>férents. Voir aussi le n°</w:t>
      </w:r>
      <w:r>
        <w:rPr>
          <w:szCs w:val="14"/>
        </w:rPr>
        <w:t> </w:t>
      </w:r>
      <w:r w:rsidRPr="00BF4073">
        <w:rPr>
          <w:szCs w:val="14"/>
        </w:rPr>
        <w:t xml:space="preserve">3 des </w:t>
      </w:r>
      <w:r w:rsidRPr="00BF4073">
        <w:rPr>
          <w:i/>
          <w:iCs/>
          <w:szCs w:val="14"/>
        </w:rPr>
        <w:t xml:space="preserve">Cahiers du CEMRIC </w:t>
      </w:r>
      <w:r w:rsidRPr="00BF4073">
        <w:rPr>
          <w:szCs w:val="14"/>
        </w:rPr>
        <w:t xml:space="preserve">(Strasbourg, 1994) </w:t>
      </w:r>
      <w:r>
        <w:rPr>
          <w:szCs w:val="14"/>
        </w:rPr>
        <w:t>« </w:t>
      </w:r>
      <w:r w:rsidRPr="00BF4073">
        <w:rPr>
          <w:szCs w:val="14"/>
        </w:rPr>
        <w:t>Propos sur la distance</w:t>
      </w:r>
      <w:r>
        <w:rPr>
          <w:szCs w:val="14"/>
        </w:rPr>
        <w:t> »</w:t>
      </w:r>
    </w:p>
  </w:footnote>
  <w:footnote w:id="9">
    <w:p w14:paraId="55A04A30" w14:textId="77777777" w:rsidR="000407A5" w:rsidRDefault="000407A5" w:rsidP="000407A5">
      <w:pPr>
        <w:pStyle w:val="Notedebasdepage"/>
      </w:pPr>
      <w:r>
        <w:rPr>
          <w:rStyle w:val="Appelnotedebasdep"/>
        </w:rPr>
        <w:footnoteRef/>
      </w:r>
      <w:r>
        <w:t xml:space="preserve"> </w:t>
      </w:r>
      <w:r>
        <w:tab/>
      </w:r>
      <w:r w:rsidRPr="00BF4073">
        <w:rPr>
          <w:szCs w:val="14"/>
        </w:rPr>
        <w:t xml:space="preserve">Dans le sens que lui donne Mary Douglas De </w:t>
      </w:r>
      <w:r w:rsidRPr="00BF4073">
        <w:rPr>
          <w:i/>
          <w:iCs/>
          <w:szCs w:val="14"/>
        </w:rPr>
        <w:t xml:space="preserve">la souillure. Essai sur la notion de pollution et de tabou, </w:t>
      </w:r>
      <w:r w:rsidRPr="00BF4073">
        <w:rPr>
          <w:szCs w:val="14"/>
        </w:rPr>
        <w:t>Paris, Maspéro, 1971.</w:t>
      </w:r>
    </w:p>
  </w:footnote>
  <w:footnote w:id="10">
    <w:p w14:paraId="014B045C" w14:textId="77777777" w:rsidR="000407A5" w:rsidRDefault="000407A5" w:rsidP="000407A5">
      <w:pPr>
        <w:pStyle w:val="Notedebasdepage"/>
      </w:pPr>
      <w:r>
        <w:rPr>
          <w:rStyle w:val="Appelnotedebasdep"/>
        </w:rPr>
        <w:footnoteRef/>
      </w:r>
      <w:r>
        <w:t xml:space="preserve"> </w:t>
      </w:r>
      <w:r>
        <w:tab/>
      </w:r>
      <w:r w:rsidRPr="00BF4073">
        <w:rPr>
          <w:szCs w:val="14"/>
        </w:rPr>
        <w:t xml:space="preserve">Pascal Hintermeyer nous rappelle que </w:t>
      </w:r>
      <w:r>
        <w:rPr>
          <w:szCs w:val="14"/>
        </w:rPr>
        <w:t>« </w:t>
      </w:r>
      <w:r w:rsidRPr="00BF4073">
        <w:rPr>
          <w:szCs w:val="14"/>
        </w:rPr>
        <w:t>sous l'effet du sida apparait un imag</w:t>
      </w:r>
      <w:r w:rsidRPr="00BF4073">
        <w:rPr>
          <w:szCs w:val="14"/>
        </w:rPr>
        <w:t>i</w:t>
      </w:r>
      <w:r w:rsidRPr="00BF4073">
        <w:rPr>
          <w:szCs w:val="14"/>
        </w:rPr>
        <w:t>naire immunitaire de la société qui envisage l'identité du groupe à partir d'un système qui lui permet de préserver son int</w:t>
      </w:r>
      <w:r w:rsidRPr="00BF4073">
        <w:rPr>
          <w:szCs w:val="14"/>
        </w:rPr>
        <w:t>é</w:t>
      </w:r>
      <w:r w:rsidRPr="00BF4073">
        <w:rPr>
          <w:szCs w:val="14"/>
        </w:rPr>
        <w:t>grité, en se défendant contre les agressions extérieures</w:t>
      </w:r>
      <w:r>
        <w:rPr>
          <w:szCs w:val="14"/>
        </w:rPr>
        <w:t> »</w:t>
      </w:r>
      <w:r w:rsidRPr="00BF4073">
        <w:rPr>
          <w:szCs w:val="14"/>
        </w:rPr>
        <w:t xml:space="preserve"> Pascal Hi</w:t>
      </w:r>
      <w:r w:rsidRPr="00BF4073">
        <w:rPr>
          <w:szCs w:val="14"/>
        </w:rPr>
        <w:t>n</w:t>
      </w:r>
      <w:r w:rsidRPr="00BF4073">
        <w:rPr>
          <w:szCs w:val="14"/>
        </w:rPr>
        <w:t xml:space="preserve">termeyer, </w:t>
      </w:r>
      <w:r>
        <w:rPr>
          <w:szCs w:val="14"/>
        </w:rPr>
        <w:t>« </w:t>
      </w:r>
      <w:r w:rsidRPr="00BF4073">
        <w:rPr>
          <w:szCs w:val="14"/>
        </w:rPr>
        <w:t>Imaginaires du corps social</w:t>
      </w:r>
      <w:r>
        <w:rPr>
          <w:szCs w:val="14"/>
        </w:rPr>
        <w:t> »</w:t>
      </w:r>
      <w:r w:rsidRPr="00BF4073">
        <w:rPr>
          <w:szCs w:val="14"/>
        </w:rPr>
        <w:t xml:space="preserve">. </w:t>
      </w:r>
      <w:r w:rsidRPr="00BF4073">
        <w:rPr>
          <w:i/>
          <w:iCs/>
          <w:szCs w:val="14"/>
        </w:rPr>
        <w:t>Revue des sciences sociales</w:t>
      </w:r>
      <w:r>
        <w:rPr>
          <w:i/>
          <w:iCs/>
          <w:szCs w:val="14"/>
        </w:rPr>
        <w:t xml:space="preserve"> </w:t>
      </w:r>
      <w:r w:rsidRPr="00BF4073">
        <w:rPr>
          <w:i/>
          <w:iCs/>
          <w:szCs w:val="14"/>
        </w:rPr>
        <w:t>de la</w:t>
      </w:r>
      <w:r>
        <w:rPr>
          <w:i/>
          <w:iCs/>
          <w:szCs w:val="14"/>
        </w:rPr>
        <w:t xml:space="preserve"> France de l’</w:t>
      </w:r>
      <w:r w:rsidRPr="00BF4073">
        <w:rPr>
          <w:i/>
          <w:iCs/>
          <w:szCs w:val="14"/>
        </w:rPr>
        <w:t xml:space="preserve">Est, </w:t>
      </w:r>
      <w:r w:rsidRPr="00BF4073">
        <w:rPr>
          <w:szCs w:val="14"/>
        </w:rPr>
        <w:t>n°</w:t>
      </w:r>
      <w:r>
        <w:rPr>
          <w:szCs w:val="14"/>
        </w:rPr>
        <w:t> </w:t>
      </w:r>
      <w:r w:rsidRPr="00BF4073">
        <w:rPr>
          <w:szCs w:val="14"/>
        </w:rPr>
        <w:t>20,</w:t>
      </w:r>
      <w:r>
        <w:rPr>
          <w:szCs w:val="14"/>
        </w:rPr>
        <w:t xml:space="preserve"> </w:t>
      </w:r>
      <w:r w:rsidRPr="00BF4073">
        <w:rPr>
          <w:szCs w:val="14"/>
        </w:rPr>
        <w:t>1992/93.</w:t>
      </w:r>
    </w:p>
  </w:footnote>
  <w:footnote w:id="11">
    <w:p w14:paraId="35F2E6A2" w14:textId="77777777" w:rsidR="000407A5" w:rsidRDefault="000407A5" w:rsidP="000407A5">
      <w:pPr>
        <w:pStyle w:val="Notedebasdepage"/>
      </w:pPr>
      <w:r>
        <w:rPr>
          <w:rStyle w:val="Appelnotedebasdep"/>
        </w:rPr>
        <w:footnoteRef/>
      </w:r>
      <w:r>
        <w:t xml:space="preserve"> </w:t>
      </w:r>
      <w:r>
        <w:tab/>
      </w:r>
      <w:r w:rsidRPr="00BF4073">
        <w:rPr>
          <w:szCs w:val="14"/>
        </w:rPr>
        <w:t>Voir notamment les travaux de Michael Pollack</w:t>
      </w:r>
      <w:r>
        <w:rPr>
          <w:szCs w:val="14"/>
        </w:rPr>
        <w:t> :</w:t>
      </w:r>
      <w:r w:rsidRPr="00BF4073">
        <w:rPr>
          <w:szCs w:val="14"/>
        </w:rPr>
        <w:t xml:space="preserve"> </w:t>
      </w:r>
      <w:r w:rsidRPr="00BF4073">
        <w:rPr>
          <w:i/>
          <w:iCs/>
          <w:szCs w:val="14"/>
        </w:rPr>
        <w:t>Les hom</w:t>
      </w:r>
      <w:r w:rsidRPr="00BF4073">
        <w:rPr>
          <w:i/>
          <w:iCs/>
          <w:szCs w:val="14"/>
        </w:rPr>
        <w:t>o</w:t>
      </w:r>
      <w:r w:rsidRPr="00BF4073">
        <w:rPr>
          <w:i/>
          <w:iCs/>
          <w:szCs w:val="14"/>
        </w:rPr>
        <w:t xml:space="preserve">sexuels et le sida, sociologie d'une épidémie, </w:t>
      </w:r>
      <w:r w:rsidRPr="00BF4073">
        <w:rPr>
          <w:szCs w:val="14"/>
        </w:rPr>
        <w:t xml:space="preserve">Paris, Métailié, 1988 (en particulier le chapitre 6, pages 162 à 192) et </w:t>
      </w:r>
      <w:r w:rsidRPr="00BF4073">
        <w:rPr>
          <w:i/>
          <w:iCs/>
          <w:szCs w:val="14"/>
        </w:rPr>
        <w:t>Une identité blessée, ét</w:t>
      </w:r>
      <w:r w:rsidRPr="00BF4073">
        <w:rPr>
          <w:i/>
          <w:iCs/>
          <w:szCs w:val="14"/>
        </w:rPr>
        <w:t>u</w:t>
      </w:r>
      <w:r w:rsidRPr="00BF4073">
        <w:rPr>
          <w:i/>
          <w:iCs/>
          <w:szCs w:val="14"/>
        </w:rPr>
        <w:t xml:space="preserve">des de sociologie et d'histoire, </w:t>
      </w:r>
      <w:r w:rsidRPr="00BF4073">
        <w:rPr>
          <w:szCs w:val="14"/>
        </w:rPr>
        <w:t>Paris, Métailié, 1993. On trouvera dans le second ouvrage pages 399 à 409 la liste des travaux consacrés à ce</w:t>
      </w:r>
      <w:r w:rsidRPr="00BF4073">
        <w:rPr>
          <w:szCs w:val="14"/>
        </w:rPr>
        <w:t>t</w:t>
      </w:r>
      <w:r w:rsidRPr="00BF4073">
        <w:rPr>
          <w:szCs w:val="14"/>
        </w:rPr>
        <w:t>te épidémie par cet auteur.</w:t>
      </w:r>
    </w:p>
  </w:footnote>
  <w:footnote w:id="12">
    <w:p w14:paraId="4286AAF2" w14:textId="77777777" w:rsidR="000407A5" w:rsidRDefault="000407A5" w:rsidP="000407A5">
      <w:pPr>
        <w:pStyle w:val="Notedebasdepage"/>
      </w:pPr>
      <w:r>
        <w:rPr>
          <w:rStyle w:val="Appelnotedebasdep"/>
        </w:rPr>
        <w:footnoteRef/>
      </w:r>
      <w:r>
        <w:t xml:space="preserve"> </w:t>
      </w:r>
      <w:r>
        <w:tab/>
      </w:r>
      <w:r w:rsidRPr="00BF4073">
        <w:rPr>
          <w:szCs w:val="14"/>
        </w:rPr>
        <w:t>Hubert et Mauss,</w:t>
      </w:r>
      <w:r>
        <w:rPr>
          <w:szCs w:val="14"/>
        </w:rPr>
        <w:t xml:space="preserve"> « </w:t>
      </w:r>
      <w:r w:rsidRPr="00BF4073">
        <w:rPr>
          <w:szCs w:val="14"/>
        </w:rPr>
        <w:t>Esquisse d'une théorie générale de la m</w:t>
      </w:r>
      <w:r w:rsidRPr="00BF4073">
        <w:rPr>
          <w:szCs w:val="14"/>
        </w:rPr>
        <w:t>a</w:t>
      </w:r>
      <w:r w:rsidRPr="00BF4073">
        <w:rPr>
          <w:szCs w:val="14"/>
        </w:rPr>
        <w:t>gie</w:t>
      </w:r>
      <w:r>
        <w:rPr>
          <w:szCs w:val="14"/>
        </w:rPr>
        <w:t> »</w:t>
      </w:r>
      <w:r w:rsidRPr="00BF4073">
        <w:rPr>
          <w:szCs w:val="14"/>
        </w:rPr>
        <w:t xml:space="preserve">, L'Année </w:t>
      </w:r>
      <w:r w:rsidRPr="00BF4073">
        <w:rPr>
          <w:i/>
          <w:iCs/>
          <w:szCs w:val="14"/>
        </w:rPr>
        <w:t xml:space="preserve">sociologique </w:t>
      </w:r>
      <w:r w:rsidRPr="00BF4073">
        <w:rPr>
          <w:szCs w:val="14"/>
        </w:rPr>
        <w:t>1902-1903</w:t>
      </w:r>
      <w:r>
        <w:rPr>
          <w:szCs w:val="14"/>
        </w:rPr>
        <w:t> ;</w:t>
      </w:r>
      <w:r w:rsidRPr="00BF4073">
        <w:rPr>
          <w:szCs w:val="14"/>
        </w:rPr>
        <w:t xml:space="preserve"> repris in Marcel Mauss, </w:t>
      </w:r>
      <w:r w:rsidRPr="00BF4073">
        <w:rPr>
          <w:i/>
          <w:iCs/>
          <w:szCs w:val="14"/>
        </w:rPr>
        <w:t>Sociologie et anthropol</w:t>
      </w:r>
      <w:r w:rsidRPr="00BF4073">
        <w:rPr>
          <w:i/>
          <w:iCs/>
          <w:szCs w:val="14"/>
        </w:rPr>
        <w:t>o</w:t>
      </w:r>
      <w:r w:rsidRPr="00BF4073">
        <w:rPr>
          <w:i/>
          <w:iCs/>
          <w:szCs w:val="14"/>
        </w:rPr>
        <w:t xml:space="preserve">gie, </w:t>
      </w:r>
      <w:r w:rsidRPr="00BF4073">
        <w:rPr>
          <w:szCs w:val="14"/>
        </w:rPr>
        <w:t>Paris, PUF, Quadrige, 1991.</w:t>
      </w:r>
      <w:r>
        <w:rPr>
          <w:szCs w:val="14"/>
        </w:rPr>
        <w:t xml:space="preserve"> </w:t>
      </w:r>
      <w:hyperlink r:id="rId3" w:history="1">
        <w:r w:rsidRPr="00A5444F">
          <w:rPr>
            <w:rStyle w:val="Hyperlien"/>
            <w:szCs w:val="24"/>
          </w:rPr>
          <w:t>http://dx.doi.org/doi:10.1522/cla.mam.esq</w:t>
        </w:r>
      </w:hyperlink>
      <w:r>
        <w:rPr>
          <w:rStyle w:val="lev"/>
          <w:szCs w:val="24"/>
        </w:rPr>
        <w:t xml:space="preserve"> </w:t>
      </w:r>
    </w:p>
  </w:footnote>
  <w:footnote w:id="13">
    <w:p w14:paraId="4358DFE7" w14:textId="77777777" w:rsidR="000407A5" w:rsidRDefault="000407A5" w:rsidP="000407A5">
      <w:pPr>
        <w:pStyle w:val="Notedebasdepage"/>
      </w:pPr>
      <w:r>
        <w:rPr>
          <w:rStyle w:val="Appelnotedebasdep"/>
        </w:rPr>
        <w:footnoteRef/>
      </w:r>
      <w:r>
        <w:t xml:space="preserve"> </w:t>
      </w:r>
      <w:r>
        <w:tab/>
      </w:r>
      <w:r w:rsidRPr="00BF4073">
        <w:rPr>
          <w:szCs w:val="14"/>
        </w:rPr>
        <w:t xml:space="preserve">Michael Pollack, </w:t>
      </w:r>
      <w:r w:rsidRPr="00BF4073">
        <w:rPr>
          <w:i/>
          <w:iCs/>
          <w:szCs w:val="14"/>
        </w:rPr>
        <w:t xml:space="preserve">Les homosexuels et le sida, </w:t>
      </w:r>
      <w:r w:rsidRPr="00BF4073">
        <w:rPr>
          <w:szCs w:val="14"/>
        </w:rPr>
        <w:t xml:space="preserve">op. cit., page 186. </w:t>
      </w:r>
      <w:r>
        <w:rPr>
          <w:szCs w:val="14"/>
        </w:rPr>
        <w:t>« </w:t>
      </w:r>
      <w:r w:rsidRPr="00BF4073">
        <w:rPr>
          <w:szCs w:val="14"/>
        </w:rPr>
        <w:t>Leur pr</w:t>
      </w:r>
      <w:r w:rsidRPr="00BF4073">
        <w:rPr>
          <w:szCs w:val="14"/>
        </w:rPr>
        <w:t>o</w:t>
      </w:r>
      <w:r w:rsidRPr="00BF4073">
        <w:rPr>
          <w:szCs w:val="14"/>
        </w:rPr>
        <w:t>pension régressive, remarque encore Michael Pollack, est d'autant plus grande que les séropositifs portent un stigmate suppl</w:t>
      </w:r>
      <w:r w:rsidRPr="00BF4073">
        <w:rPr>
          <w:szCs w:val="14"/>
        </w:rPr>
        <w:t>é</w:t>
      </w:r>
      <w:r w:rsidRPr="00BF4073">
        <w:rPr>
          <w:szCs w:val="14"/>
        </w:rPr>
        <w:t>mentaire de sorte que trois fois plus de personnes voudraient voir mis des prisonniers séropositifs en quara</w:t>
      </w:r>
      <w:r w:rsidRPr="00BF4073">
        <w:rPr>
          <w:szCs w:val="14"/>
        </w:rPr>
        <w:t>n</w:t>
      </w:r>
      <w:r w:rsidRPr="00BF4073">
        <w:rPr>
          <w:szCs w:val="14"/>
        </w:rPr>
        <w:t>taine que les 10% à 14% qui demandent une mesure d'exclusion à l'égard de tous les séropositifs et malades</w:t>
      </w:r>
      <w:r>
        <w:rPr>
          <w:szCs w:val="14"/>
        </w:rPr>
        <w:t> »</w:t>
      </w:r>
      <w:r w:rsidRPr="00BF4073">
        <w:rPr>
          <w:szCs w:val="14"/>
        </w:rPr>
        <w:t>, op. cit., pages 186 et 187.</w:t>
      </w:r>
    </w:p>
  </w:footnote>
  <w:footnote w:id="14">
    <w:p w14:paraId="43928087" w14:textId="77777777" w:rsidR="000407A5" w:rsidRDefault="000407A5" w:rsidP="000407A5">
      <w:pPr>
        <w:pStyle w:val="Notedebasdepage"/>
      </w:pPr>
      <w:r>
        <w:rPr>
          <w:rStyle w:val="Appelnotedebasdep"/>
        </w:rPr>
        <w:footnoteRef/>
      </w:r>
      <w:r>
        <w:t xml:space="preserve"> </w:t>
      </w:r>
      <w:r>
        <w:tab/>
      </w:r>
      <w:r w:rsidRPr="00BF4073">
        <w:rPr>
          <w:szCs w:val="14"/>
        </w:rPr>
        <w:t xml:space="preserve">Cette fantasmatique de la contagion vise à unir dans un même anathème le malade et l'étranger, et plus précisément le malade et le juif. Le néologisme </w:t>
      </w:r>
      <w:r>
        <w:rPr>
          <w:szCs w:val="14"/>
        </w:rPr>
        <w:t>« </w:t>
      </w:r>
      <w:r w:rsidRPr="00BF4073">
        <w:rPr>
          <w:szCs w:val="14"/>
        </w:rPr>
        <w:t>sidaïque</w:t>
      </w:r>
      <w:r>
        <w:rPr>
          <w:szCs w:val="14"/>
        </w:rPr>
        <w:t> »</w:t>
      </w:r>
      <w:r w:rsidRPr="00BF4073">
        <w:rPr>
          <w:szCs w:val="14"/>
        </w:rPr>
        <w:t>, inventé par les dirigeants du Front national, est formé à dessein par référence directe à judaïque. Il a été trop largement repris par la suite, sans précautions, dans la presse (Dernier exemple relevé</w:t>
      </w:r>
      <w:r>
        <w:rPr>
          <w:szCs w:val="14"/>
        </w:rPr>
        <w:t> :</w:t>
      </w:r>
      <w:r w:rsidRPr="00BF4073">
        <w:rPr>
          <w:szCs w:val="14"/>
        </w:rPr>
        <w:t xml:space="preserve"> </w:t>
      </w:r>
      <w:r w:rsidRPr="00BF4073">
        <w:rPr>
          <w:i/>
          <w:iCs/>
          <w:szCs w:val="14"/>
        </w:rPr>
        <w:t xml:space="preserve">Dernières Nouvelles d'Alsace </w:t>
      </w:r>
      <w:r w:rsidRPr="00BF4073">
        <w:rPr>
          <w:szCs w:val="14"/>
        </w:rPr>
        <w:t>le 7 décembre 1993) et dans les discours quotidiens pour désigner les malades du sida. Les mots, on le sait pourtant depuis longtemps, peuvent être des armes terribles pour faire resurgir les grandes peurs. En jouant sur l'anal</w:t>
      </w:r>
      <w:r w:rsidRPr="00BF4073">
        <w:rPr>
          <w:szCs w:val="14"/>
        </w:rPr>
        <w:t>o</w:t>
      </w:r>
      <w:r w:rsidRPr="00BF4073">
        <w:rPr>
          <w:szCs w:val="14"/>
        </w:rPr>
        <w:t>gie découlant d'un suffixe commun l'antisémitisme est ainsi sournoisement r</w:t>
      </w:r>
      <w:r w:rsidRPr="00BF4073">
        <w:rPr>
          <w:szCs w:val="14"/>
        </w:rPr>
        <w:t>é</w:t>
      </w:r>
      <w:r w:rsidRPr="00BF4073">
        <w:rPr>
          <w:szCs w:val="14"/>
        </w:rPr>
        <w:t xml:space="preserve">activé. Sur l'importance que les dirigeants du Front national accordent aux mots, voir F. Matonti, </w:t>
      </w:r>
      <w:r>
        <w:rPr>
          <w:szCs w:val="14"/>
        </w:rPr>
        <w:t>« </w:t>
      </w:r>
      <w:r w:rsidRPr="00BF4073">
        <w:rPr>
          <w:szCs w:val="14"/>
        </w:rPr>
        <w:t>Le Front national fo</w:t>
      </w:r>
      <w:r w:rsidRPr="00BF4073">
        <w:rPr>
          <w:szCs w:val="14"/>
        </w:rPr>
        <w:t>r</w:t>
      </w:r>
      <w:r w:rsidRPr="00BF4073">
        <w:rPr>
          <w:szCs w:val="14"/>
        </w:rPr>
        <w:t>me ses cadres</w:t>
      </w:r>
      <w:r>
        <w:rPr>
          <w:szCs w:val="14"/>
        </w:rPr>
        <w:t> »</w:t>
      </w:r>
      <w:r w:rsidRPr="00BF4073">
        <w:rPr>
          <w:szCs w:val="14"/>
        </w:rPr>
        <w:t xml:space="preserve"> in </w:t>
      </w:r>
      <w:r w:rsidRPr="00BF4073">
        <w:rPr>
          <w:i/>
          <w:iCs/>
          <w:szCs w:val="14"/>
        </w:rPr>
        <w:t xml:space="preserve">Genèses </w:t>
      </w:r>
      <w:r w:rsidRPr="00BF4073">
        <w:rPr>
          <w:szCs w:val="14"/>
        </w:rPr>
        <w:t>n°</w:t>
      </w:r>
      <w:r>
        <w:rPr>
          <w:szCs w:val="14"/>
        </w:rPr>
        <w:t> </w:t>
      </w:r>
      <w:r w:rsidRPr="00BF4073">
        <w:rPr>
          <w:szCs w:val="14"/>
        </w:rPr>
        <w:t xml:space="preserve">10, janvier 1993. Voir aussi l'article de Michael Pollack, </w:t>
      </w:r>
      <w:r>
        <w:rPr>
          <w:szCs w:val="14"/>
        </w:rPr>
        <w:t>« </w:t>
      </w:r>
      <w:r w:rsidRPr="00BF4073">
        <w:rPr>
          <w:szCs w:val="14"/>
        </w:rPr>
        <w:t>Des mots qui tuent</w:t>
      </w:r>
      <w:r>
        <w:rPr>
          <w:szCs w:val="14"/>
        </w:rPr>
        <w:t> »</w:t>
      </w:r>
      <w:r w:rsidRPr="00BF4073">
        <w:rPr>
          <w:szCs w:val="14"/>
        </w:rPr>
        <w:t xml:space="preserve">, </w:t>
      </w:r>
      <w:r w:rsidRPr="00BF4073">
        <w:rPr>
          <w:i/>
          <w:iCs/>
          <w:szCs w:val="14"/>
        </w:rPr>
        <w:t xml:space="preserve">Actes de la recherche en sciences sociales, </w:t>
      </w:r>
      <w:r w:rsidRPr="00BF4073">
        <w:rPr>
          <w:szCs w:val="14"/>
        </w:rPr>
        <w:t>n°</w:t>
      </w:r>
      <w:r>
        <w:rPr>
          <w:szCs w:val="14"/>
        </w:rPr>
        <w:t> </w:t>
      </w:r>
      <w:r w:rsidRPr="00BF4073">
        <w:rPr>
          <w:szCs w:val="14"/>
        </w:rPr>
        <w:t>41, février  1982, repris</w:t>
      </w:r>
      <w:r>
        <w:rPr>
          <w:szCs w:val="14"/>
        </w:rPr>
        <w:t xml:space="preserve"> </w:t>
      </w:r>
      <w:r w:rsidRPr="00BF4073">
        <w:rPr>
          <w:szCs w:val="14"/>
        </w:rPr>
        <w:t>dans son ouvrage po</w:t>
      </w:r>
      <w:r w:rsidRPr="00BF4073">
        <w:rPr>
          <w:szCs w:val="14"/>
        </w:rPr>
        <w:t>s</w:t>
      </w:r>
      <w:r w:rsidRPr="00BF4073">
        <w:rPr>
          <w:szCs w:val="14"/>
        </w:rPr>
        <w:t xml:space="preserve">thume </w:t>
      </w:r>
      <w:r w:rsidRPr="00BF4073">
        <w:rPr>
          <w:i/>
          <w:iCs/>
          <w:szCs w:val="14"/>
        </w:rPr>
        <w:t xml:space="preserve">Une identité blessée, </w:t>
      </w:r>
      <w:r w:rsidRPr="00BF4073">
        <w:rPr>
          <w:szCs w:val="14"/>
        </w:rPr>
        <w:t>op. cit., pages 97 à 120.</w:t>
      </w:r>
    </w:p>
  </w:footnote>
  <w:footnote w:id="15">
    <w:p w14:paraId="66598C30" w14:textId="77777777" w:rsidR="000407A5" w:rsidRDefault="000407A5" w:rsidP="000407A5">
      <w:pPr>
        <w:pStyle w:val="Notedebasdepage"/>
      </w:pPr>
      <w:r>
        <w:rPr>
          <w:rStyle w:val="Appelnotedebasdep"/>
        </w:rPr>
        <w:footnoteRef/>
      </w:r>
      <w:r>
        <w:t xml:space="preserve"> </w:t>
      </w:r>
      <w:r>
        <w:tab/>
      </w:r>
      <w:r w:rsidRPr="00BF4073">
        <w:rPr>
          <w:szCs w:val="14"/>
        </w:rPr>
        <w:t>Jodelet Denise, op. cit.</w:t>
      </w:r>
    </w:p>
  </w:footnote>
  <w:footnote w:id="16">
    <w:p w14:paraId="146402C7" w14:textId="77777777" w:rsidR="000407A5" w:rsidRDefault="000407A5" w:rsidP="000407A5">
      <w:pPr>
        <w:pStyle w:val="Notedebasdepage"/>
      </w:pPr>
      <w:r>
        <w:rPr>
          <w:rStyle w:val="Appelnotedebasdep"/>
        </w:rPr>
        <w:footnoteRef/>
      </w:r>
      <w:r>
        <w:t xml:space="preserve"> </w:t>
      </w:r>
      <w:r>
        <w:tab/>
      </w:r>
      <w:r w:rsidRPr="00BF4073">
        <w:rPr>
          <w:szCs w:val="14"/>
        </w:rPr>
        <w:t>Les mots désignant la peur et l'étranger ont une racine commune dans certa</w:t>
      </w:r>
      <w:r w:rsidRPr="00BF4073">
        <w:rPr>
          <w:szCs w:val="14"/>
        </w:rPr>
        <w:t>i</w:t>
      </w:r>
      <w:r w:rsidRPr="00BF4073">
        <w:rPr>
          <w:szCs w:val="14"/>
        </w:rPr>
        <w:t>nes langues, notamment en serbo-croate.</w:t>
      </w:r>
    </w:p>
  </w:footnote>
  <w:footnote w:id="17">
    <w:p w14:paraId="5BCB5100" w14:textId="77777777" w:rsidR="000407A5" w:rsidRDefault="000407A5" w:rsidP="000407A5">
      <w:pPr>
        <w:pStyle w:val="Notedebasdepage"/>
      </w:pPr>
      <w:r>
        <w:rPr>
          <w:rStyle w:val="Appelnotedebasdep"/>
        </w:rPr>
        <w:footnoteRef/>
      </w:r>
      <w:r>
        <w:t xml:space="preserve"> </w:t>
      </w:r>
      <w:r>
        <w:tab/>
      </w:r>
      <w:r>
        <w:rPr>
          <w:szCs w:val="14"/>
        </w:rPr>
        <w:t>« </w:t>
      </w:r>
      <w:r w:rsidRPr="00BF4073">
        <w:rPr>
          <w:szCs w:val="14"/>
        </w:rPr>
        <w:t>Les trois âges de l'émigration algérienne en France</w:t>
      </w:r>
      <w:r>
        <w:rPr>
          <w:szCs w:val="14"/>
        </w:rPr>
        <w:t> »</w:t>
      </w:r>
      <w:r w:rsidRPr="00BF4073">
        <w:rPr>
          <w:szCs w:val="14"/>
        </w:rPr>
        <w:t xml:space="preserve">, in </w:t>
      </w:r>
      <w:r w:rsidRPr="00BF4073">
        <w:rPr>
          <w:i/>
          <w:iCs/>
          <w:szCs w:val="14"/>
        </w:rPr>
        <w:t>Actes de la reche</w:t>
      </w:r>
      <w:r w:rsidRPr="00BF4073">
        <w:rPr>
          <w:i/>
          <w:iCs/>
          <w:szCs w:val="14"/>
        </w:rPr>
        <w:t>r</w:t>
      </w:r>
      <w:r w:rsidRPr="00BF4073">
        <w:rPr>
          <w:i/>
          <w:iCs/>
          <w:szCs w:val="14"/>
        </w:rPr>
        <w:t xml:space="preserve">che en sciences </w:t>
      </w:r>
      <w:r>
        <w:rPr>
          <w:szCs w:val="14"/>
        </w:rPr>
        <w:t>social</w:t>
      </w:r>
      <w:r w:rsidRPr="00BF4073">
        <w:rPr>
          <w:szCs w:val="14"/>
        </w:rPr>
        <w:t>es</w:t>
      </w:r>
      <w:r>
        <w:rPr>
          <w:szCs w:val="14"/>
        </w:rPr>
        <w:t xml:space="preserve">, </w:t>
      </w:r>
      <w:r w:rsidRPr="00BF4073">
        <w:rPr>
          <w:szCs w:val="14"/>
        </w:rPr>
        <w:t>n°</w:t>
      </w:r>
      <w:r>
        <w:rPr>
          <w:szCs w:val="14"/>
        </w:rPr>
        <w:t> </w:t>
      </w:r>
      <w:r w:rsidRPr="00BF4073">
        <w:rPr>
          <w:szCs w:val="14"/>
        </w:rPr>
        <w:t>15,</w:t>
      </w:r>
      <w:r>
        <w:rPr>
          <w:szCs w:val="14"/>
        </w:rPr>
        <w:t xml:space="preserve"> </w:t>
      </w:r>
      <w:r w:rsidRPr="00BF4073">
        <w:rPr>
          <w:szCs w:val="14"/>
        </w:rPr>
        <w:t>juin 1977.</w:t>
      </w:r>
    </w:p>
  </w:footnote>
  <w:footnote w:id="18">
    <w:p w14:paraId="21EF5C7F" w14:textId="77777777" w:rsidR="000407A5" w:rsidRDefault="000407A5" w:rsidP="000407A5">
      <w:pPr>
        <w:pStyle w:val="Notedebasdepage"/>
      </w:pPr>
      <w:r>
        <w:rPr>
          <w:rStyle w:val="Appelnotedebasdep"/>
        </w:rPr>
        <w:footnoteRef/>
      </w:r>
      <w:r>
        <w:t xml:space="preserve"> </w:t>
      </w:r>
      <w:r>
        <w:tab/>
      </w:r>
      <w:r w:rsidRPr="00BF4073">
        <w:rPr>
          <w:szCs w:val="14"/>
        </w:rPr>
        <w:t xml:space="preserve">Publiés initialement dans </w:t>
      </w:r>
      <w:r w:rsidRPr="00BF4073">
        <w:rPr>
          <w:i/>
          <w:iCs/>
          <w:szCs w:val="14"/>
        </w:rPr>
        <w:t>Actes de la recherche en sciences s</w:t>
      </w:r>
      <w:r w:rsidRPr="00BF4073">
        <w:rPr>
          <w:i/>
          <w:iCs/>
          <w:szCs w:val="14"/>
        </w:rPr>
        <w:t>o</w:t>
      </w:r>
      <w:r w:rsidRPr="00BF4073">
        <w:rPr>
          <w:i/>
          <w:iCs/>
          <w:szCs w:val="14"/>
        </w:rPr>
        <w:t xml:space="preserve">ciales, </w:t>
      </w:r>
      <w:r w:rsidRPr="00BF4073">
        <w:rPr>
          <w:szCs w:val="14"/>
        </w:rPr>
        <w:t xml:space="preserve">mais aussi dans des revues moins accessibles comme </w:t>
      </w:r>
      <w:r w:rsidRPr="00BF4073">
        <w:rPr>
          <w:i/>
          <w:iCs/>
          <w:szCs w:val="14"/>
        </w:rPr>
        <w:t xml:space="preserve">Peuples méditerranéens </w:t>
      </w:r>
      <w:r w:rsidRPr="00BF4073">
        <w:rPr>
          <w:szCs w:val="14"/>
        </w:rPr>
        <w:t xml:space="preserve">ou </w:t>
      </w:r>
      <w:r w:rsidRPr="00BF4073">
        <w:rPr>
          <w:i/>
          <w:iCs/>
          <w:szCs w:val="14"/>
        </w:rPr>
        <w:t>Anthropologia medica.</w:t>
      </w:r>
    </w:p>
  </w:footnote>
  <w:footnote w:id="19">
    <w:p w14:paraId="76BC3266" w14:textId="77777777" w:rsidR="000407A5" w:rsidRDefault="000407A5" w:rsidP="000407A5">
      <w:pPr>
        <w:pStyle w:val="Notedebasdepage"/>
      </w:pPr>
      <w:r>
        <w:rPr>
          <w:rStyle w:val="Appelnotedebasdep"/>
        </w:rPr>
        <w:footnoteRef/>
      </w:r>
      <w:r>
        <w:t xml:space="preserve"> </w:t>
      </w:r>
      <w:r>
        <w:tab/>
      </w:r>
      <w:r w:rsidRPr="00BF4073">
        <w:rPr>
          <w:szCs w:val="14"/>
        </w:rPr>
        <w:t xml:space="preserve">G. Simmel, </w:t>
      </w:r>
      <w:r>
        <w:rPr>
          <w:i/>
          <w:iCs/>
          <w:szCs w:val="14"/>
        </w:rPr>
        <w:t>« </w:t>
      </w:r>
      <w:r w:rsidRPr="00BF4073">
        <w:rPr>
          <w:i/>
          <w:iCs/>
          <w:szCs w:val="14"/>
        </w:rPr>
        <w:t>Digression sur l'étranger</w:t>
      </w:r>
      <w:r>
        <w:rPr>
          <w:i/>
          <w:iCs/>
          <w:szCs w:val="14"/>
        </w:rPr>
        <w:t> »</w:t>
      </w:r>
      <w:r w:rsidRPr="00BF4073">
        <w:rPr>
          <w:i/>
          <w:iCs/>
          <w:szCs w:val="14"/>
        </w:rPr>
        <w:t xml:space="preserve">, </w:t>
      </w:r>
      <w:r w:rsidRPr="00BF4073">
        <w:rPr>
          <w:szCs w:val="14"/>
        </w:rPr>
        <w:t>op. cit.</w:t>
      </w:r>
    </w:p>
  </w:footnote>
  <w:footnote w:id="20">
    <w:p w14:paraId="2CE67116" w14:textId="77777777" w:rsidR="000407A5" w:rsidRDefault="000407A5" w:rsidP="000407A5">
      <w:pPr>
        <w:pStyle w:val="Notedebasdepage"/>
      </w:pPr>
      <w:r>
        <w:rPr>
          <w:rStyle w:val="Appelnotedebasdep"/>
        </w:rPr>
        <w:footnoteRef/>
      </w:r>
      <w:r>
        <w:t xml:space="preserve"> </w:t>
      </w:r>
      <w:r>
        <w:tab/>
      </w:r>
      <w:r w:rsidRPr="00BF4073">
        <w:rPr>
          <w:szCs w:val="14"/>
        </w:rPr>
        <w:t xml:space="preserve">Si l'immigration </w:t>
      </w:r>
      <w:r>
        <w:rPr>
          <w:szCs w:val="14"/>
        </w:rPr>
        <w:t>« </w:t>
      </w:r>
      <w:r w:rsidRPr="00BF4073">
        <w:rPr>
          <w:szCs w:val="14"/>
        </w:rPr>
        <w:t>non-européenne</w:t>
      </w:r>
      <w:r>
        <w:rPr>
          <w:szCs w:val="14"/>
        </w:rPr>
        <w:t> »</w:t>
      </w:r>
      <w:r w:rsidRPr="00BF4073">
        <w:rPr>
          <w:szCs w:val="14"/>
        </w:rPr>
        <w:t xml:space="preserve"> est régulièrement stigm</w:t>
      </w:r>
      <w:r w:rsidRPr="00BF4073">
        <w:rPr>
          <w:szCs w:val="14"/>
        </w:rPr>
        <w:t>a</w:t>
      </w:r>
      <w:r w:rsidRPr="00BF4073">
        <w:rPr>
          <w:szCs w:val="14"/>
        </w:rPr>
        <w:t>tisée en France cela tient aussi à ce passé colonial.</w:t>
      </w:r>
    </w:p>
  </w:footnote>
  <w:footnote w:id="21">
    <w:p w14:paraId="1F8D208D" w14:textId="77777777" w:rsidR="000407A5" w:rsidRDefault="000407A5" w:rsidP="000407A5">
      <w:pPr>
        <w:pStyle w:val="Notedebasdepage"/>
      </w:pPr>
      <w:r>
        <w:rPr>
          <w:rStyle w:val="Appelnotedebasdep"/>
        </w:rPr>
        <w:footnoteRef/>
      </w:r>
      <w:r>
        <w:t xml:space="preserve"> </w:t>
      </w:r>
      <w:r>
        <w:tab/>
      </w:r>
      <w:r w:rsidRPr="00BF4073">
        <w:rPr>
          <w:szCs w:val="14"/>
        </w:rPr>
        <w:t xml:space="preserve">Voir aussi l'article de Brigitte Fichet, </w:t>
      </w:r>
      <w:r>
        <w:rPr>
          <w:szCs w:val="14"/>
        </w:rPr>
        <w:t>« </w:t>
      </w:r>
      <w:r w:rsidRPr="00BF4073">
        <w:rPr>
          <w:szCs w:val="14"/>
        </w:rPr>
        <w:t>Etrangers et immigrés, deux termes problématiques</w:t>
      </w:r>
      <w:r>
        <w:rPr>
          <w:szCs w:val="14"/>
        </w:rPr>
        <w:t> »</w:t>
      </w:r>
      <w:r w:rsidRPr="00BF4073">
        <w:rPr>
          <w:szCs w:val="14"/>
        </w:rPr>
        <w:t xml:space="preserve">, </w:t>
      </w:r>
      <w:r w:rsidRPr="00BF4073">
        <w:rPr>
          <w:i/>
          <w:iCs/>
          <w:szCs w:val="14"/>
        </w:rPr>
        <w:t xml:space="preserve">Revue des sciences sociales de la France de l'Est, </w:t>
      </w:r>
      <w:r w:rsidRPr="00BF4073">
        <w:rPr>
          <w:szCs w:val="14"/>
        </w:rPr>
        <w:t>n°</w:t>
      </w:r>
      <w:r>
        <w:rPr>
          <w:szCs w:val="14"/>
        </w:rPr>
        <w:t> </w:t>
      </w:r>
      <w:r w:rsidRPr="00BF4073">
        <w:rPr>
          <w:szCs w:val="14"/>
        </w:rPr>
        <w:t>20, 1992/1993.</w:t>
      </w:r>
    </w:p>
  </w:footnote>
  <w:footnote w:id="22">
    <w:p w14:paraId="0426869C" w14:textId="77777777" w:rsidR="000407A5" w:rsidRDefault="000407A5" w:rsidP="000407A5">
      <w:pPr>
        <w:pStyle w:val="Notedebasdepage"/>
      </w:pPr>
      <w:r>
        <w:rPr>
          <w:rStyle w:val="Appelnotedebasdep"/>
        </w:rPr>
        <w:footnoteRef/>
      </w:r>
      <w:r>
        <w:t xml:space="preserve"> </w:t>
      </w:r>
      <w:r>
        <w:tab/>
      </w:r>
      <w:r w:rsidRPr="00BF4073">
        <w:rPr>
          <w:szCs w:val="14"/>
        </w:rPr>
        <w:t>La première immigration algérienne significative remonte en effet à la premi</w:t>
      </w:r>
      <w:r w:rsidRPr="00BF4073">
        <w:rPr>
          <w:szCs w:val="14"/>
        </w:rPr>
        <w:t>è</w:t>
      </w:r>
      <w:r w:rsidRPr="00BF4073">
        <w:rPr>
          <w:szCs w:val="14"/>
        </w:rPr>
        <w:t>re guerre mondiale</w:t>
      </w:r>
      <w:r>
        <w:rPr>
          <w:szCs w:val="14"/>
        </w:rPr>
        <w:t> !</w:t>
      </w:r>
    </w:p>
  </w:footnote>
  <w:footnote w:id="23">
    <w:p w14:paraId="5506C9CA" w14:textId="77777777" w:rsidR="000407A5" w:rsidRDefault="000407A5" w:rsidP="000407A5">
      <w:pPr>
        <w:pStyle w:val="Notedebasdepage"/>
      </w:pPr>
      <w:r>
        <w:rPr>
          <w:rStyle w:val="Appelnotedebasdep"/>
        </w:rPr>
        <w:footnoteRef/>
      </w:r>
      <w:r>
        <w:t xml:space="preserve"> </w:t>
      </w:r>
      <w:r>
        <w:tab/>
      </w:r>
      <w:r w:rsidRPr="00BF4073">
        <w:rPr>
          <w:szCs w:val="14"/>
        </w:rPr>
        <w:t xml:space="preserve">Noiriel Gérard, </w:t>
      </w:r>
      <w:r w:rsidRPr="00BF4073">
        <w:rPr>
          <w:i/>
          <w:iCs/>
          <w:szCs w:val="14"/>
        </w:rPr>
        <w:t>Le creuset français. Histoire de l'immigration, XIX</w:t>
      </w:r>
      <w:r w:rsidRPr="00A80A87">
        <w:rPr>
          <w:i/>
          <w:iCs/>
          <w:szCs w:val="14"/>
          <w:vertAlign w:val="superscript"/>
        </w:rPr>
        <w:t>è</w:t>
      </w:r>
      <w:r w:rsidRPr="00BF4073">
        <w:rPr>
          <w:i/>
          <w:iCs/>
          <w:szCs w:val="14"/>
        </w:rPr>
        <w:t>-XX</w:t>
      </w:r>
      <w:r w:rsidRPr="00A80A87">
        <w:rPr>
          <w:i/>
          <w:iCs/>
          <w:szCs w:val="14"/>
          <w:vertAlign w:val="superscript"/>
        </w:rPr>
        <w:t>è</w:t>
      </w:r>
      <w:r w:rsidRPr="00BF4073">
        <w:rPr>
          <w:i/>
          <w:iCs/>
          <w:szCs w:val="14"/>
        </w:rPr>
        <w:t xml:space="preserve"> si</w:t>
      </w:r>
      <w:r w:rsidRPr="00BF4073">
        <w:rPr>
          <w:i/>
          <w:iCs/>
          <w:szCs w:val="14"/>
        </w:rPr>
        <w:t>è</w:t>
      </w:r>
      <w:r w:rsidRPr="00BF4073">
        <w:rPr>
          <w:i/>
          <w:iCs/>
          <w:szCs w:val="14"/>
        </w:rPr>
        <w:t xml:space="preserve">cle, </w:t>
      </w:r>
      <w:r w:rsidRPr="00BF4073">
        <w:rPr>
          <w:szCs w:val="14"/>
        </w:rPr>
        <w:t>Paris, Points-Seuil, 1992.</w:t>
      </w:r>
    </w:p>
  </w:footnote>
  <w:footnote w:id="24">
    <w:p w14:paraId="0078304A" w14:textId="77777777" w:rsidR="000407A5" w:rsidRDefault="000407A5" w:rsidP="000407A5">
      <w:pPr>
        <w:pStyle w:val="Notedebasdepage"/>
      </w:pPr>
      <w:r>
        <w:rPr>
          <w:rStyle w:val="Appelnotedebasdep"/>
        </w:rPr>
        <w:footnoteRef/>
      </w:r>
      <w:r>
        <w:t xml:space="preserve"> </w:t>
      </w:r>
      <w:r>
        <w:tab/>
      </w:r>
      <w:r w:rsidRPr="00BF4073">
        <w:rPr>
          <w:szCs w:val="14"/>
        </w:rPr>
        <w:t>Sur la distinction entre les termes intégration, insertion et ass</w:t>
      </w:r>
      <w:r w:rsidRPr="00BF4073">
        <w:rPr>
          <w:szCs w:val="14"/>
        </w:rPr>
        <w:t>i</w:t>
      </w:r>
      <w:r w:rsidRPr="00BF4073">
        <w:rPr>
          <w:szCs w:val="14"/>
        </w:rPr>
        <w:t xml:space="preserve">milation voir Jacqueline Costa-Lascoux, </w:t>
      </w:r>
      <w:r>
        <w:rPr>
          <w:szCs w:val="14"/>
        </w:rPr>
        <w:t>« </w:t>
      </w:r>
      <w:r w:rsidRPr="00BF4073">
        <w:rPr>
          <w:szCs w:val="14"/>
        </w:rPr>
        <w:t>Assimiler, insérer, intégrer</w:t>
      </w:r>
      <w:r>
        <w:rPr>
          <w:szCs w:val="14"/>
        </w:rPr>
        <w:t> »</w:t>
      </w:r>
      <w:r w:rsidRPr="00BF4073">
        <w:rPr>
          <w:szCs w:val="14"/>
        </w:rPr>
        <w:t xml:space="preserve"> in Réussir l'intégr</w:t>
      </w:r>
      <w:r w:rsidRPr="00BF4073">
        <w:rPr>
          <w:szCs w:val="14"/>
        </w:rPr>
        <w:t>a</w:t>
      </w:r>
      <w:r w:rsidRPr="00BF4073">
        <w:rPr>
          <w:szCs w:val="14"/>
        </w:rPr>
        <w:t xml:space="preserve">tion, </w:t>
      </w:r>
      <w:r w:rsidRPr="00BF4073">
        <w:rPr>
          <w:i/>
          <w:iCs/>
          <w:szCs w:val="14"/>
        </w:rPr>
        <w:t xml:space="preserve">Projet </w:t>
      </w:r>
      <w:r w:rsidRPr="00BF4073">
        <w:rPr>
          <w:szCs w:val="14"/>
        </w:rPr>
        <w:t>n°</w:t>
      </w:r>
      <w:r>
        <w:rPr>
          <w:szCs w:val="14"/>
        </w:rPr>
        <w:t> </w:t>
      </w:r>
      <w:r w:rsidRPr="00BF4073">
        <w:rPr>
          <w:szCs w:val="14"/>
        </w:rPr>
        <w:t>227,  automne</w:t>
      </w:r>
      <w:r>
        <w:rPr>
          <w:szCs w:val="14"/>
        </w:rPr>
        <w:t xml:space="preserve"> </w:t>
      </w:r>
      <w:r w:rsidRPr="00BF4073">
        <w:rPr>
          <w:szCs w:val="14"/>
        </w:rPr>
        <w:t>1991,</w:t>
      </w:r>
      <w:r>
        <w:rPr>
          <w:szCs w:val="14"/>
        </w:rPr>
        <w:t xml:space="preserve"> </w:t>
      </w:r>
      <w:r w:rsidRPr="00BF4073">
        <w:rPr>
          <w:szCs w:val="14"/>
        </w:rPr>
        <w:t>pages 7 à 15. Pour</w:t>
      </w:r>
      <w:r>
        <w:rPr>
          <w:szCs w:val="14"/>
        </w:rPr>
        <w:t xml:space="preserve"> </w:t>
      </w:r>
      <w:r w:rsidRPr="00BF4073">
        <w:rPr>
          <w:szCs w:val="14"/>
        </w:rPr>
        <w:t>une étude sociologique</w:t>
      </w:r>
      <w:r>
        <w:rPr>
          <w:szCs w:val="14"/>
        </w:rPr>
        <w:t xml:space="preserve"> </w:t>
      </w:r>
      <w:r w:rsidRPr="00BF4073">
        <w:rPr>
          <w:szCs w:val="14"/>
        </w:rPr>
        <w:t>de l'intégration de la France dans son ensemble,</w:t>
      </w:r>
      <w:r>
        <w:rPr>
          <w:szCs w:val="14"/>
        </w:rPr>
        <w:t xml:space="preserve"> </w:t>
      </w:r>
      <w:r w:rsidRPr="00BF4073">
        <w:rPr>
          <w:szCs w:val="14"/>
        </w:rPr>
        <w:t>l'intégration des immigrés ne constituant</w:t>
      </w:r>
      <w:r>
        <w:rPr>
          <w:szCs w:val="14"/>
        </w:rPr>
        <w:t xml:space="preserve"> </w:t>
      </w:r>
      <w:r w:rsidRPr="00BF4073">
        <w:rPr>
          <w:szCs w:val="14"/>
        </w:rPr>
        <w:t>qu'une des dime</w:t>
      </w:r>
      <w:r w:rsidRPr="00BF4073">
        <w:rPr>
          <w:szCs w:val="14"/>
        </w:rPr>
        <w:t>n</w:t>
      </w:r>
      <w:r w:rsidRPr="00BF4073">
        <w:rPr>
          <w:szCs w:val="14"/>
        </w:rPr>
        <w:t>sions de celle-ci, voir</w:t>
      </w:r>
      <w:r>
        <w:rPr>
          <w:szCs w:val="14"/>
        </w:rPr>
        <w:t xml:space="preserve"> </w:t>
      </w:r>
      <w:r w:rsidRPr="00BF4073">
        <w:rPr>
          <w:szCs w:val="14"/>
        </w:rPr>
        <w:t xml:space="preserve">Dominique Schnapper, La </w:t>
      </w:r>
      <w:r w:rsidRPr="00BF4073">
        <w:rPr>
          <w:i/>
          <w:iCs/>
          <w:szCs w:val="14"/>
        </w:rPr>
        <w:t>France de l'intégr</w:t>
      </w:r>
      <w:r w:rsidRPr="00BF4073">
        <w:rPr>
          <w:i/>
          <w:iCs/>
          <w:szCs w:val="14"/>
        </w:rPr>
        <w:t>a</w:t>
      </w:r>
      <w:r w:rsidRPr="00BF4073">
        <w:rPr>
          <w:i/>
          <w:iCs/>
          <w:szCs w:val="14"/>
        </w:rPr>
        <w:t>tion, sociologie de la nation en</w:t>
      </w:r>
      <w:r>
        <w:rPr>
          <w:i/>
          <w:iCs/>
          <w:szCs w:val="14"/>
        </w:rPr>
        <w:t xml:space="preserve"> 1</w:t>
      </w:r>
      <w:r w:rsidRPr="00BF4073">
        <w:rPr>
          <w:i/>
          <w:iCs/>
          <w:szCs w:val="14"/>
        </w:rPr>
        <w:t xml:space="preserve">990, </w:t>
      </w:r>
      <w:r w:rsidRPr="00BF4073">
        <w:rPr>
          <w:szCs w:val="14"/>
        </w:rPr>
        <w:t>Paris,</w:t>
      </w:r>
      <w:r>
        <w:rPr>
          <w:szCs w:val="14"/>
        </w:rPr>
        <w:t xml:space="preserve"> </w:t>
      </w:r>
      <w:r w:rsidRPr="00BF4073">
        <w:rPr>
          <w:szCs w:val="14"/>
        </w:rPr>
        <w:t>Gallimard, 1991. Sur l'intégration des immigrés</w:t>
      </w:r>
      <w:r>
        <w:rPr>
          <w:szCs w:val="14"/>
        </w:rPr>
        <w:t xml:space="preserve"> </w:t>
      </w:r>
      <w:r w:rsidRPr="00BF4073">
        <w:rPr>
          <w:szCs w:val="14"/>
        </w:rPr>
        <w:t>et une réflexion sur la notion de mult</w:t>
      </w:r>
      <w:r w:rsidRPr="00BF4073">
        <w:rPr>
          <w:szCs w:val="14"/>
        </w:rPr>
        <w:t>i</w:t>
      </w:r>
      <w:r w:rsidRPr="00BF4073">
        <w:rPr>
          <w:szCs w:val="14"/>
        </w:rPr>
        <w:t>cultur</w:t>
      </w:r>
      <w:r w:rsidRPr="00BF4073">
        <w:rPr>
          <w:szCs w:val="14"/>
        </w:rPr>
        <w:t>a</w:t>
      </w:r>
      <w:r w:rsidRPr="00BF4073">
        <w:rPr>
          <w:szCs w:val="14"/>
        </w:rPr>
        <w:t xml:space="preserve">lisme voir aussi l'article de Juan Matas, </w:t>
      </w:r>
      <w:r>
        <w:rPr>
          <w:szCs w:val="14"/>
        </w:rPr>
        <w:t>« </w:t>
      </w:r>
      <w:r w:rsidRPr="00BF4073">
        <w:rPr>
          <w:szCs w:val="14"/>
        </w:rPr>
        <w:t>Processus d'intégration, des populations d'origine</w:t>
      </w:r>
      <w:r>
        <w:rPr>
          <w:szCs w:val="14"/>
        </w:rPr>
        <w:t xml:space="preserve"> </w:t>
      </w:r>
      <w:r w:rsidRPr="00BF4073">
        <w:rPr>
          <w:szCs w:val="14"/>
        </w:rPr>
        <w:t>immigrée et multiculturalisme</w:t>
      </w:r>
      <w:r>
        <w:rPr>
          <w:szCs w:val="14"/>
        </w:rPr>
        <w:t> »</w:t>
      </w:r>
      <w:r w:rsidRPr="00BF4073">
        <w:rPr>
          <w:szCs w:val="14"/>
        </w:rPr>
        <w:t xml:space="preserve">, </w:t>
      </w:r>
      <w:r w:rsidRPr="00BF4073">
        <w:rPr>
          <w:i/>
          <w:iCs/>
          <w:szCs w:val="14"/>
        </w:rPr>
        <w:t>Revue des</w:t>
      </w:r>
      <w:r>
        <w:rPr>
          <w:i/>
          <w:iCs/>
          <w:szCs w:val="14"/>
        </w:rPr>
        <w:t xml:space="preserve"> </w:t>
      </w:r>
      <w:r w:rsidRPr="00BF4073">
        <w:rPr>
          <w:i/>
          <w:iCs/>
          <w:szCs w:val="14"/>
        </w:rPr>
        <w:t>sciences s</w:t>
      </w:r>
      <w:r w:rsidRPr="00BF4073">
        <w:rPr>
          <w:i/>
          <w:iCs/>
          <w:szCs w:val="14"/>
        </w:rPr>
        <w:t>o</w:t>
      </w:r>
      <w:r w:rsidRPr="00BF4073">
        <w:rPr>
          <w:i/>
          <w:iCs/>
          <w:szCs w:val="14"/>
        </w:rPr>
        <w:t xml:space="preserve">ciales de la France de l'Est, </w:t>
      </w:r>
      <w:r w:rsidRPr="00BF4073">
        <w:rPr>
          <w:szCs w:val="14"/>
        </w:rPr>
        <w:t>n°</w:t>
      </w:r>
      <w:r>
        <w:rPr>
          <w:szCs w:val="14"/>
        </w:rPr>
        <w:t> </w:t>
      </w:r>
      <w:r w:rsidRPr="00BF4073">
        <w:rPr>
          <w:szCs w:val="14"/>
        </w:rPr>
        <w:t>20,</w:t>
      </w:r>
      <w:r>
        <w:rPr>
          <w:szCs w:val="14"/>
        </w:rPr>
        <w:t xml:space="preserve"> </w:t>
      </w:r>
      <w:r w:rsidRPr="00BF4073">
        <w:rPr>
          <w:szCs w:val="14"/>
        </w:rPr>
        <w:t>1992/1993, pages 124 à 129.</w:t>
      </w:r>
    </w:p>
  </w:footnote>
  <w:footnote w:id="25">
    <w:p w14:paraId="1DE13B8F" w14:textId="77777777" w:rsidR="000407A5" w:rsidRDefault="000407A5" w:rsidP="000407A5">
      <w:pPr>
        <w:pStyle w:val="Notedebasdepage"/>
      </w:pPr>
      <w:r>
        <w:rPr>
          <w:rStyle w:val="Appelnotedebasdep"/>
        </w:rPr>
        <w:footnoteRef/>
      </w:r>
      <w:r>
        <w:t xml:space="preserve"> </w:t>
      </w:r>
      <w:r>
        <w:tab/>
      </w:r>
      <w:r w:rsidRPr="00BF4073">
        <w:rPr>
          <w:szCs w:val="14"/>
        </w:rPr>
        <w:t>Par exemple, dans la sidérurgie lorraine on notera l'importance de l'immigr</w:t>
      </w:r>
      <w:r w:rsidRPr="00BF4073">
        <w:rPr>
          <w:szCs w:val="14"/>
        </w:rPr>
        <w:t>a</w:t>
      </w:r>
      <w:r w:rsidRPr="00BF4073">
        <w:rPr>
          <w:szCs w:val="14"/>
        </w:rPr>
        <w:t>tion italienne surtout, mais aussi polonaise, et</w:t>
      </w:r>
      <w:r>
        <w:rPr>
          <w:szCs w:val="14"/>
        </w:rPr>
        <w:t xml:space="preserve"> </w:t>
      </w:r>
      <w:r w:rsidRPr="00BF4073">
        <w:rPr>
          <w:szCs w:val="14"/>
        </w:rPr>
        <w:t>plus tard nord-africaine (voir les travaux de Serge Bonnet et de Gérard No</w:t>
      </w:r>
      <w:r w:rsidRPr="00BF4073">
        <w:rPr>
          <w:szCs w:val="14"/>
        </w:rPr>
        <w:t>i</w:t>
      </w:r>
      <w:r w:rsidRPr="00BF4073">
        <w:rPr>
          <w:szCs w:val="14"/>
        </w:rPr>
        <w:t>riel)</w:t>
      </w:r>
      <w:r>
        <w:rPr>
          <w:szCs w:val="14"/>
        </w:rPr>
        <w:t> ;</w:t>
      </w:r>
      <w:r w:rsidRPr="00BF4073">
        <w:rPr>
          <w:szCs w:val="14"/>
        </w:rPr>
        <w:t xml:space="preserve"> dans le bassin potassique du Haut-Rhin c'est l'immigration polonaise qui jouera un rôle central (voir n</w:t>
      </w:r>
      <w:r w:rsidRPr="00BF4073">
        <w:rPr>
          <w:szCs w:val="14"/>
        </w:rPr>
        <w:t>o</w:t>
      </w:r>
      <w:r w:rsidRPr="00BF4073">
        <w:rPr>
          <w:szCs w:val="14"/>
        </w:rPr>
        <w:t xml:space="preserve">tamment l'étude consacrée par Freddy Raphaël et Geneviève Herberich-Marx aux mémoires de la </w:t>
      </w:r>
      <w:r>
        <w:rPr>
          <w:szCs w:val="14"/>
        </w:rPr>
        <w:t>« </w:t>
      </w:r>
      <w:r w:rsidRPr="00BF4073">
        <w:rPr>
          <w:szCs w:val="14"/>
        </w:rPr>
        <w:t>colonie</w:t>
      </w:r>
      <w:r>
        <w:rPr>
          <w:szCs w:val="14"/>
        </w:rPr>
        <w:t> »</w:t>
      </w:r>
      <w:r w:rsidRPr="00BF4073">
        <w:rPr>
          <w:szCs w:val="14"/>
        </w:rPr>
        <w:t xml:space="preserve"> chez les mineurs du Bassin Potassique d'Als</w:t>
      </w:r>
      <w:r w:rsidRPr="00BF4073">
        <w:rPr>
          <w:szCs w:val="14"/>
        </w:rPr>
        <w:t>a</w:t>
      </w:r>
      <w:r w:rsidRPr="00BF4073">
        <w:rPr>
          <w:szCs w:val="14"/>
        </w:rPr>
        <w:t xml:space="preserve">ce in </w:t>
      </w:r>
      <w:r w:rsidRPr="00BF4073">
        <w:rPr>
          <w:i/>
          <w:iCs/>
          <w:szCs w:val="14"/>
        </w:rPr>
        <w:t>Mémo</w:t>
      </w:r>
      <w:r w:rsidRPr="00BF4073">
        <w:rPr>
          <w:i/>
          <w:iCs/>
          <w:szCs w:val="14"/>
        </w:rPr>
        <w:t>i</w:t>
      </w:r>
      <w:r w:rsidRPr="00BF4073">
        <w:rPr>
          <w:i/>
          <w:iCs/>
          <w:szCs w:val="14"/>
        </w:rPr>
        <w:t xml:space="preserve">re plurielle de l'Alsace, grandeurs et servitudes d'un pays des marges, </w:t>
      </w:r>
      <w:r w:rsidRPr="00BF4073">
        <w:rPr>
          <w:szCs w:val="14"/>
        </w:rPr>
        <w:t xml:space="preserve">Strasbourg, Collection Recherches et Documents, </w:t>
      </w:r>
      <w:r>
        <w:rPr>
          <w:szCs w:val="14"/>
        </w:rPr>
        <w:t>t</w:t>
      </w:r>
      <w:r w:rsidRPr="00BF4073">
        <w:rPr>
          <w:szCs w:val="14"/>
        </w:rPr>
        <w:t>ome</w:t>
      </w:r>
      <w:r>
        <w:rPr>
          <w:szCs w:val="14"/>
        </w:rPr>
        <w:t> </w:t>
      </w:r>
      <w:r w:rsidRPr="00BF4073">
        <w:rPr>
          <w:szCs w:val="14"/>
        </w:rPr>
        <w:t>44, Public</w:t>
      </w:r>
      <w:r w:rsidRPr="00BF4073">
        <w:rPr>
          <w:szCs w:val="14"/>
        </w:rPr>
        <w:t>a</w:t>
      </w:r>
      <w:r w:rsidRPr="00BF4073">
        <w:rPr>
          <w:szCs w:val="14"/>
        </w:rPr>
        <w:t>tions de la société savante d'Alsace et des régions de l'Est, 1991, pages 136 à 168).</w:t>
      </w:r>
    </w:p>
  </w:footnote>
  <w:footnote w:id="26">
    <w:p w14:paraId="64B6AB06" w14:textId="77777777" w:rsidR="000407A5" w:rsidRDefault="000407A5" w:rsidP="000407A5">
      <w:pPr>
        <w:pStyle w:val="Notedebasdepage"/>
      </w:pPr>
      <w:r>
        <w:rPr>
          <w:rStyle w:val="Appelnotedebasdep"/>
        </w:rPr>
        <w:footnoteRef/>
      </w:r>
      <w:r>
        <w:t xml:space="preserve"> </w:t>
      </w:r>
      <w:r>
        <w:tab/>
      </w:r>
      <w:r w:rsidRPr="00BF4073">
        <w:rPr>
          <w:szCs w:val="14"/>
        </w:rPr>
        <w:t xml:space="preserve">Dominique Schnapper, </w:t>
      </w:r>
      <w:r w:rsidRPr="00BF4073">
        <w:rPr>
          <w:i/>
          <w:iCs/>
          <w:szCs w:val="14"/>
        </w:rPr>
        <w:t xml:space="preserve">L'Europe des immigrés, </w:t>
      </w:r>
      <w:r w:rsidRPr="00BF4073">
        <w:rPr>
          <w:szCs w:val="14"/>
        </w:rPr>
        <w:t>Paris, François Bourrin, 1992, page 7.</w:t>
      </w:r>
    </w:p>
  </w:footnote>
  <w:footnote w:id="27">
    <w:p w14:paraId="4ECBF4DC" w14:textId="77777777" w:rsidR="000407A5" w:rsidRDefault="000407A5" w:rsidP="000407A5">
      <w:pPr>
        <w:pStyle w:val="Notedebasdepage"/>
      </w:pPr>
      <w:r>
        <w:rPr>
          <w:rStyle w:val="Appelnotedebasdep"/>
        </w:rPr>
        <w:footnoteRef/>
      </w:r>
      <w:r>
        <w:t xml:space="preserve"> </w:t>
      </w:r>
      <w:r>
        <w:tab/>
      </w:r>
      <w:r w:rsidRPr="00BF4073">
        <w:rPr>
          <w:szCs w:val="14"/>
        </w:rPr>
        <w:t xml:space="preserve">Voir par exemple François Dubet et Didier Lapeyronnie, </w:t>
      </w:r>
      <w:r w:rsidRPr="00BF4073">
        <w:rPr>
          <w:i/>
          <w:iCs/>
          <w:szCs w:val="14"/>
        </w:rPr>
        <w:t xml:space="preserve">Les quartiers d'exil, </w:t>
      </w:r>
      <w:r w:rsidRPr="00BF4073">
        <w:rPr>
          <w:szCs w:val="14"/>
        </w:rPr>
        <w:t>Paris, Seuil,</w:t>
      </w:r>
      <w:r>
        <w:rPr>
          <w:szCs w:val="14"/>
        </w:rPr>
        <w:t xml:space="preserve"> </w:t>
      </w:r>
      <w:r w:rsidRPr="00BF4073">
        <w:rPr>
          <w:szCs w:val="14"/>
        </w:rPr>
        <w:t>1992,</w:t>
      </w:r>
      <w:r>
        <w:rPr>
          <w:szCs w:val="14"/>
        </w:rPr>
        <w:t xml:space="preserve"> </w:t>
      </w:r>
      <w:r w:rsidRPr="00BF4073">
        <w:rPr>
          <w:szCs w:val="14"/>
        </w:rPr>
        <w:t xml:space="preserve">Michel Wievorka (dir.), </w:t>
      </w:r>
      <w:r w:rsidRPr="00BF4073">
        <w:rPr>
          <w:i/>
          <w:iCs/>
          <w:szCs w:val="14"/>
        </w:rPr>
        <w:t xml:space="preserve">La France raciste, </w:t>
      </w:r>
      <w:r w:rsidRPr="00BF4073">
        <w:rPr>
          <w:szCs w:val="14"/>
        </w:rPr>
        <w:t>Paris, Seuil, 1992, Michel Wievorka,</w:t>
      </w:r>
      <w:r>
        <w:rPr>
          <w:szCs w:val="14"/>
        </w:rPr>
        <w:t xml:space="preserve"> </w:t>
      </w:r>
      <w:r w:rsidRPr="00BF4073">
        <w:rPr>
          <w:i/>
          <w:iCs/>
          <w:szCs w:val="14"/>
        </w:rPr>
        <w:t xml:space="preserve">Racisme et modernité, </w:t>
      </w:r>
      <w:r w:rsidRPr="00BF4073">
        <w:rPr>
          <w:szCs w:val="14"/>
        </w:rPr>
        <w:t>Paris, La Découverte,</w:t>
      </w:r>
      <w:r>
        <w:rPr>
          <w:szCs w:val="14"/>
        </w:rPr>
        <w:t xml:space="preserve"> </w:t>
      </w:r>
      <w:r w:rsidRPr="00BF4073">
        <w:rPr>
          <w:szCs w:val="14"/>
        </w:rPr>
        <w:t xml:space="preserve">1993 et Alain Bihr, </w:t>
      </w:r>
      <w:r w:rsidRPr="00BF4073">
        <w:rPr>
          <w:i/>
          <w:iCs/>
          <w:szCs w:val="14"/>
        </w:rPr>
        <w:t xml:space="preserve">Pour en finir avec le Front National, </w:t>
      </w:r>
      <w:r w:rsidRPr="00BF4073">
        <w:rPr>
          <w:szCs w:val="14"/>
        </w:rPr>
        <w:t>Paris, Syros, 1993.</w:t>
      </w:r>
    </w:p>
  </w:footnote>
  <w:footnote w:id="28">
    <w:p w14:paraId="017D7ED5" w14:textId="77777777" w:rsidR="000407A5" w:rsidRDefault="000407A5" w:rsidP="000407A5">
      <w:pPr>
        <w:pStyle w:val="Notedebasdepage"/>
      </w:pPr>
      <w:r>
        <w:rPr>
          <w:rStyle w:val="Appelnotedebasdep"/>
        </w:rPr>
        <w:footnoteRef/>
      </w:r>
      <w:r>
        <w:t xml:space="preserve"> </w:t>
      </w:r>
      <w:r>
        <w:tab/>
      </w:r>
      <w:r w:rsidRPr="00BF4073">
        <w:rPr>
          <w:szCs w:val="14"/>
        </w:rPr>
        <w:t xml:space="preserve">Voir Olivier Schwartz, </w:t>
      </w:r>
      <w:r w:rsidRPr="00BF4073">
        <w:rPr>
          <w:i/>
          <w:iCs/>
          <w:szCs w:val="14"/>
        </w:rPr>
        <w:t xml:space="preserve">Le monde privé des ouvriers, hommes et femmes du Nord, </w:t>
      </w:r>
      <w:r w:rsidRPr="00BF4073">
        <w:rPr>
          <w:szCs w:val="14"/>
        </w:rPr>
        <w:t>Paris, PUF, 1989.</w:t>
      </w:r>
    </w:p>
  </w:footnote>
  <w:footnote w:id="29">
    <w:p w14:paraId="46775BDD" w14:textId="77777777" w:rsidR="000407A5" w:rsidRDefault="000407A5" w:rsidP="000407A5">
      <w:pPr>
        <w:pStyle w:val="Notedebasdepage"/>
      </w:pPr>
      <w:r>
        <w:rPr>
          <w:rStyle w:val="Appelnotedebasdep"/>
        </w:rPr>
        <w:footnoteRef/>
      </w:r>
      <w:r>
        <w:t xml:space="preserve"> </w:t>
      </w:r>
      <w:r>
        <w:tab/>
      </w:r>
      <w:r w:rsidRPr="00BF4073">
        <w:rPr>
          <w:szCs w:val="14"/>
        </w:rPr>
        <w:t xml:space="preserve">Gérard Noiriel, La </w:t>
      </w:r>
      <w:r w:rsidRPr="00BF4073">
        <w:rPr>
          <w:i/>
          <w:iCs/>
          <w:szCs w:val="14"/>
        </w:rPr>
        <w:t xml:space="preserve">Tyrannie du national, </w:t>
      </w:r>
      <w:r w:rsidRPr="00BF4073">
        <w:rPr>
          <w:szCs w:val="14"/>
        </w:rPr>
        <w:t>Paris, Calmann-Lévy, 1991, page 17.</w:t>
      </w:r>
    </w:p>
  </w:footnote>
  <w:footnote w:id="30">
    <w:p w14:paraId="6C0C06C0" w14:textId="77777777" w:rsidR="000407A5" w:rsidRDefault="000407A5" w:rsidP="000407A5">
      <w:pPr>
        <w:pStyle w:val="Notedebasdepage"/>
      </w:pPr>
      <w:r>
        <w:rPr>
          <w:rStyle w:val="Appelnotedebasdep"/>
        </w:rPr>
        <w:footnoteRef/>
      </w:r>
      <w:r>
        <w:t xml:space="preserve"> </w:t>
      </w:r>
      <w:r>
        <w:tab/>
      </w:r>
      <w:r w:rsidRPr="00BF4073">
        <w:rPr>
          <w:szCs w:val="14"/>
        </w:rPr>
        <w:t>Voir les discours de ceux qui sont hostiles à la présence des immigrés sur le territoire</w:t>
      </w:r>
      <w:r>
        <w:rPr>
          <w:szCs w:val="14"/>
        </w:rPr>
        <w:t> :</w:t>
      </w:r>
      <w:r w:rsidRPr="00BF4073">
        <w:rPr>
          <w:szCs w:val="14"/>
        </w:rPr>
        <w:t xml:space="preserve"> par exemple Alain Griotteray, </w:t>
      </w:r>
      <w:r w:rsidRPr="00BF4073">
        <w:rPr>
          <w:i/>
          <w:iCs/>
          <w:szCs w:val="14"/>
        </w:rPr>
        <w:t>Les imm</w:t>
      </w:r>
      <w:r w:rsidRPr="00BF4073">
        <w:rPr>
          <w:i/>
          <w:iCs/>
          <w:szCs w:val="14"/>
        </w:rPr>
        <w:t>i</w:t>
      </w:r>
      <w:r w:rsidRPr="00BF4073">
        <w:rPr>
          <w:i/>
          <w:iCs/>
          <w:szCs w:val="14"/>
        </w:rPr>
        <w:t>grés</w:t>
      </w:r>
      <w:r>
        <w:rPr>
          <w:i/>
          <w:iCs/>
          <w:szCs w:val="14"/>
        </w:rPr>
        <w:t> :</w:t>
      </w:r>
      <w:r w:rsidRPr="00BF4073">
        <w:rPr>
          <w:i/>
          <w:iCs/>
          <w:szCs w:val="14"/>
        </w:rPr>
        <w:t xml:space="preserve"> le choc, </w:t>
      </w:r>
      <w:r w:rsidRPr="00BF4073">
        <w:rPr>
          <w:szCs w:val="14"/>
        </w:rPr>
        <w:t>Pion, Paris, 1984</w:t>
      </w:r>
      <w:r>
        <w:rPr>
          <w:szCs w:val="14"/>
        </w:rPr>
        <w:t> ;</w:t>
      </w:r>
      <w:r w:rsidRPr="00BF4073">
        <w:rPr>
          <w:szCs w:val="14"/>
        </w:rPr>
        <w:t xml:space="preserve"> ou Jean-Yves Le Gallou, </w:t>
      </w:r>
      <w:r w:rsidRPr="00BF4073">
        <w:rPr>
          <w:i/>
          <w:iCs/>
          <w:szCs w:val="14"/>
        </w:rPr>
        <w:t>La préférence nationale</w:t>
      </w:r>
      <w:r>
        <w:rPr>
          <w:i/>
          <w:iCs/>
          <w:szCs w:val="14"/>
        </w:rPr>
        <w:t> :</w:t>
      </w:r>
      <w:r w:rsidRPr="00BF4073">
        <w:rPr>
          <w:i/>
          <w:iCs/>
          <w:szCs w:val="14"/>
        </w:rPr>
        <w:t xml:space="preserve"> réponse à l'imm</w:t>
      </w:r>
      <w:r w:rsidRPr="00BF4073">
        <w:rPr>
          <w:i/>
          <w:iCs/>
          <w:szCs w:val="14"/>
        </w:rPr>
        <w:t>i</w:t>
      </w:r>
      <w:r w:rsidRPr="00BF4073">
        <w:rPr>
          <w:i/>
          <w:iCs/>
          <w:szCs w:val="14"/>
        </w:rPr>
        <w:t xml:space="preserve">gration, </w:t>
      </w:r>
      <w:r w:rsidRPr="00BF4073">
        <w:rPr>
          <w:szCs w:val="14"/>
        </w:rPr>
        <w:t xml:space="preserve">Albin Michel, Paris, 1985. Pour une analyse critique de ces discours voir notamment Olivier Le Cour Grandmaison, </w:t>
      </w:r>
      <w:r>
        <w:rPr>
          <w:szCs w:val="14"/>
        </w:rPr>
        <w:t>« </w:t>
      </w:r>
      <w:r w:rsidRPr="00BF4073">
        <w:rPr>
          <w:szCs w:val="14"/>
        </w:rPr>
        <w:t>Immigration, politique, et c</w:t>
      </w:r>
      <w:r w:rsidRPr="00BF4073">
        <w:rPr>
          <w:szCs w:val="14"/>
        </w:rPr>
        <w:t>i</w:t>
      </w:r>
      <w:r w:rsidRPr="00BF4073">
        <w:rPr>
          <w:szCs w:val="14"/>
        </w:rPr>
        <w:t>toyenneté</w:t>
      </w:r>
      <w:r>
        <w:rPr>
          <w:szCs w:val="14"/>
        </w:rPr>
        <w:t> :</w:t>
      </w:r>
      <w:r w:rsidRPr="00BF4073">
        <w:rPr>
          <w:szCs w:val="14"/>
        </w:rPr>
        <w:t xml:space="preserve"> sur quelques arguments</w:t>
      </w:r>
      <w:r>
        <w:rPr>
          <w:szCs w:val="14"/>
        </w:rPr>
        <w:t> »</w:t>
      </w:r>
      <w:r w:rsidRPr="00BF4073">
        <w:rPr>
          <w:szCs w:val="14"/>
        </w:rPr>
        <w:t xml:space="preserve"> in </w:t>
      </w:r>
      <w:r w:rsidRPr="00BF4073">
        <w:rPr>
          <w:i/>
          <w:iCs/>
          <w:szCs w:val="14"/>
        </w:rPr>
        <w:t>Les étrangers dans la cité, expérie</w:t>
      </w:r>
      <w:r w:rsidRPr="00BF4073">
        <w:rPr>
          <w:i/>
          <w:iCs/>
          <w:szCs w:val="14"/>
        </w:rPr>
        <w:t>n</w:t>
      </w:r>
      <w:r w:rsidRPr="00BF4073">
        <w:rPr>
          <w:i/>
          <w:iCs/>
          <w:szCs w:val="14"/>
        </w:rPr>
        <w:t>ces eur</w:t>
      </w:r>
      <w:r w:rsidRPr="00BF4073">
        <w:rPr>
          <w:i/>
          <w:iCs/>
          <w:szCs w:val="14"/>
        </w:rPr>
        <w:t>o</w:t>
      </w:r>
      <w:r w:rsidRPr="00BF4073">
        <w:rPr>
          <w:i/>
          <w:iCs/>
          <w:szCs w:val="14"/>
        </w:rPr>
        <w:t xml:space="preserve">péennes, </w:t>
      </w:r>
      <w:r w:rsidRPr="00BF4073">
        <w:rPr>
          <w:szCs w:val="14"/>
        </w:rPr>
        <w:t>sous la direction du même auteur et de Catherine Wihtol de Wenden, Paris, La Découverte, 1993, p. 81 à 103.</w:t>
      </w:r>
    </w:p>
  </w:footnote>
  <w:footnote w:id="31">
    <w:p w14:paraId="246BD469" w14:textId="77777777" w:rsidR="000407A5" w:rsidRDefault="000407A5" w:rsidP="000407A5">
      <w:pPr>
        <w:pStyle w:val="Notedebasdepage"/>
      </w:pPr>
      <w:r>
        <w:rPr>
          <w:rStyle w:val="Appelnotedebasdep"/>
        </w:rPr>
        <w:footnoteRef/>
      </w:r>
      <w:r>
        <w:t xml:space="preserve"> </w:t>
      </w:r>
      <w:r>
        <w:tab/>
      </w:r>
      <w:r w:rsidRPr="00BF4073">
        <w:rPr>
          <w:szCs w:val="14"/>
        </w:rPr>
        <w:t>Alain Bihr, op. cit. Voir aussi du même auteur son article,</w:t>
      </w:r>
      <w:r>
        <w:rPr>
          <w:szCs w:val="14"/>
        </w:rPr>
        <w:t xml:space="preserve"> « </w:t>
      </w:r>
      <w:r w:rsidRPr="00BF4073">
        <w:rPr>
          <w:szCs w:val="14"/>
        </w:rPr>
        <w:t>Identité menaça</w:t>
      </w:r>
      <w:r w:rsidRPr="00BF4073">
        <w:rPr>
          <w:szCs w:val="14"/>
        </w:rPr>
        <w:t>n</w:t>
      </w:r>
      <w:r w:rsidRPr="00BF4073">
        <w:rPr>
          <w:szCs w:val="14"/>
        </w:rPr>
        <w:t>te, identité menacée, l'Europe dans l'imaginaire du Front National</w:t>
      </w:r>
      <w:r>
        <w:rPr>
          <w:szCs w:val="14"/>
        </w:rPr>
        <w:t> »</w:t>
      </w:r>
      <w:r w:rsidRPr="00BF4073">
        <w:rPr>
          <w:szCs w:val="14"/>
        </w:rPr>
        <w:t xml:space="preserve">, </w:t>
      </w:r>
      <w:r w:rsidRPr="00BF4073">
        <w:rPr>
          <w:i/>
          <w:iCs/>
          <w:szCs w:val="14"/>
        </w:rPr>
        <w:t xml:space="preserve">Revue des sciences sociales de la France de l'Est, </w:t>
      </w:r>
      <w:r w:rsidRPr="00BF4073">
        <w:rPr>
          <w:szCs w:val="14"/>
        </w:rPr>
        <w:t>n°</w:t>
      </w:r>
      <w:r>
        <w:rPr>
          <w:szCs w:val="14"/>
        </w:rPr>
        <w:t> </w:t>
      </w:r>
      <w:r w:rsidRPr="00BF4073">
        <w:rPr>
          <w:szCs w:val="14"/>
        </w:rPr>
        <w:t>20, 1992/93.</w:t>
      </w:r>
    </w:p>
  </w:footnote>
  <w:footnote w:id="32">
    <w:p w14:paraId="57C07FE8" w14:textId="77777777" w:rsidR="000407A5" w:rsidRDefault="000407A5" w:rsidP="000407A5">
      <w:pPr>
        <w:pStyle w:val="Notedebasdepage"/>
      </w:pPr>
      <w:r>
        <w:rPr>
          <w:rStyle w:val="Appelnotedebasdep"/>
        </w:rPr>
        <w:footnoteRef/>
      </w:r>
      <w:r>
        <w:t xml:space="preserve"> </w:t>
      </w:r>
      <w:r>
        <w:tab/>
      </w:r>
      <w:r w:rsidRPr="00BF4073">
        <w:rPr>
          <w:szCs w:val="14"/>
        </w:rPr>
        <w:t xml:space="preserve">Michel Wievorka, La </w:t>
      </w:r>
      <w:r w:rsidRPr="00BF4073">
        <w:rPr>
          <w:i/>
          <w:iCs/>
          <w:szCs w:val="14"/>
        </w:rPr>
        <w:t>démocratie à l'épreuve. Nationalisme, populisme, ethn</w:t>
      </w:r>
      <w:r w:rsidRPr="00BF4073">
        <w:rPr>
          <w:i/>
          <w:iCs/>
          <w:szCs w:val="14"/>
        </w:rPr>
        <w:t>i</w:t>
      </w:r>
      <w:r w:rsidRPr="00BF4073">
        <w:rPr>
          <w:i/>
          <w:iCs/>
          <w:szCs w:val="14"/>
        </w:rPr>
        <w:t xml:space="preserve">cité, </w:t>
      </w:r>
      <w:r w:rsidRPr="00BF4073">
        <w:rPr>
          <w:szCs w:val="14"/>
        </w:rPr>
        <w:t>Paris, La Découverte, 1993, p. 20.</w:t>
      </w:r>
    </w:p>
  </w:footnote>
  <w:footnote w:id="33">
    <w:p w14:paraId="0EF7D73A" w14:textId="77777777" w:rsidR="000407A5" w:rsidRDefault="000407A5" w:rsidP="000407A5">
      <w:pPr>
        <w:pStyle w:val="Notedebasdepage"/>
      </w:pPr>
      <w:r>
        <w:rPr>
          <w:rStyle w:val="Appelnotedebasdep"/>
        </w:rPr>
        <w:footnoteRef/>
      </w:r>
      <w:r>
        <w:t xml:space="preserve"> </w:t>
      </w:r>
      <w:r>
        <w:tab/>
      </w:r>
      <w:r w:rsidRPr="00BF4073">
        <w:rPr>
          <w:szCs w:val="14"/>
        </w:rPr>
        <w:t>op. cit.</w:t>
      </w:r>
      <w:r>
        <w:rPr>
          <w:szCs w:val="14"/>
        </w:rPr>
        <w:t>,</w:t>
      </w:r>
      <w:r w:rsidRPr="00BF4073">
        <w:rPr>
          <w:szCs w:val="14"/>
        </w:rPr>
        <w:t xml:space="preserve"> page 154. L'auteur propose une construction so</w:t>
      </w:r>
      <w:r>
        <w:rPr>
          <w:szCs w:val="14"/>
        </w:rPr>
        <w:t>ciolog</w:t>
      </w:r>
      <w:r>
        <w:rPr>
          <w:szCs w:val="14"/>
        </w:rPr>
        <w:t>i</w:t>
      </w:r>
      <w:r>
        <w:rPr>
          <w:szCs w:val="14"/>
        </w:rPr>
        <w:t>que de la notion d'ethni</w:t>
      </w:r>
      <w:r w:rsidRPr="00BF4073">
        <w:rPr>
          <w:szCs w:val="14"/>
        </w:rPr>
        <w:t>cité dans le troisième chapitre de son livre p</w:t>
      </w:r>
      <w:r w:rsidRPr="00BF4073">
        <w:rPr>
          <w:szCs w:val="14"/>
        </w:rPr>
        <w:t>a</w:t>
      </w:r>
      <w:r w:rsidRPr="00BF4073">
        <w:rPr>
          <w:szCs w:val="14"/>
        </w:rPr>
        <w:t>ge 97 à 156.</w:t>
      </w:r>
    </w:p>
  </w:footnote>
  <w:footnote w:id="34">
    <w:p w14:paraId="55088DC8" w14:textId="77777777" w:rsidR="000407A5" w:rsidRDefault="000407A5" w:rsidP="000407A5">
      <w:pPr>
        <w:pStyle w:val="Notedebasdepage"/>
      </w:pPr>
      <w:r>
        <w:rPr>
          <w:rStyle w:val="Appelnotedebasdep"/>
        </w:rPr>
        <w:footnoteRef/>
      </w:r>
      <w:r>
        <w:t xml:space="preserve"> </w:t>
      </w:r>
      <w:r>
        <w:tab/>
      </w:r>
      <w:r w:rsidRPr="00BF4073">
        <w:rPr>
          <w:szCs w:val="14"/>
        </w:rPr>
        <w:t>op. cit.</w:t>
      </w:r>
      <w:r>
        <w:rPr>
          <w:szCs w:val="14"/>
        </w:rPr>
        <w:t>,</w:t>
      </w:r>
      <w:r w:rsidRPr="00BF4073">
        <w:rPr>
          <w:szCs w:val="14"/>
        </w:rPr>
        <w:t xml:space="preserve"> page 152.</w:t>
      </w:r>
    </w:p>
  </w:footnote>
  <w:footnote w:id="35">
    <w:p w14:paraId="443416F6" w14:textId="77777777" w:rsidR="000407A5" w:rsidRDefault="000407A5" w:rsidP="000407A5">
      <w:pPr>
        <w:pStyle w:val="Notedebasdepage"/>
      </w:pPr>
      <w:r>
        <w:rPr>
          <w:rStyle w:val="Appelnotedebasdep"/>
        </w:rPr>
        <w:footnoteRef/>
      </w:r>
      <w:r>
        <w:t xml:space="preserve"> </w:t>
      </w:r>
      <w:r>
        <w:tab/>
      </w:r>
      <w:r w:rsidRPr="00BF4073">
        <w:rPr>
          <w:szCs w:val="14"/>
        </w:rPr>
        <w:t>op. cit.</w:t>
      </w:r>
      <w:r>
        <w:rPr>
          <w:szCs w:val="14"/>
        </w:rPr>
        <w:t>,</w:t>
      </w:r>
      <w:r w:rsidRPr="00BF4073">
        <w:rPr>
          <w:szCs w:val="14"/>
        </w:rPr>
        <w:t xml:space="preserve"> page 156.</w:t>
      </w:r>
    </w:p>
  </w:footnote>
  <w:footnote w:id="36">
    <w:p w14:paraId="1D61A506" w14:textId="77777777" w:rsidR="000407A5" w:rsidRDefault="000407A5" w:rsidP="000407A5">
      <w:pPr>
        <w:pStyle w:val="Notedebasdepage"/>
      </w:pPr>
      <w:r>
        <w:rPr>
          <w:rStyle w:val="Appelnotedebasdep"/>
        </w:rPr>
        <w:footnoteRef/>
      </w:r>
      <w:r>
        <w:t xml:space="preserve"> </w:t>
      </w:r>
      <w:r>
        <w:tab/>
      </w:r>
      <w:r w:rsidRPr="00BF4073">
        <w:rPr>
          <w:szCs w:val="14"/>
        </w:rPr>
        <w:t>op. cit.</w:t>
      </w:r>
      <w:r>
        <w:rPr>
          <w:szCs w:val="14"/>
        </w:rPr>
        <w:t>,</w:t>
      </w:r>
      <w:r w:rsidRPr="00BF4073">
        <w:rPr>
          <w:szCs w:val="14"/>
        </w:rPr>
        <w:t xml:space="preserve"> page 156.</w:t>
      </w:r>
    </w:p>
  </w:footnote>
  <w:footnote w:id="37">
    <w:p w14:paraId="46049FDC" w14:textId="77777777" w:rsidR="000407A5" w:rsidRDefault="000407A5" w:rsidP="000407A5">
      <w:pPr>
        <w:pStyle w:val="Notedebasdepage"/>
      </w:pPr>
      <w:r>
        <w:rPr>
          <w:rStyle w:val="Appelnotedebasdep"/>
        </w:rPr>
        <w:footnoteRef/>
      </w:r>
      <w:r>
        <w:t xml:space="preserve"> </w:t>
      </w:r>
      <w:r>
        <w:tab/>
      </w:r>
      <w:r w:rsidRPr="00BF4073">
        <w:rPr>
          <w:szCs w:val="14"/>
        </w:rPr>
        <w:t>op. cit.</w:t>
      </w:r>
      <w:r>
        <w:rPr>
          <w:szCs w:val="14"/>
        </w:rPr>
        <w:t>,</w:t>
      </w:r>
      <w:r w:rsidRPr="00BF4073">
        <w:rPr>
          <w:szCs w:val="14"/>
        </w:rPr>
        <w:t xml:space="preserve"> page 164. Voir aussi Alain Bihr, </w:t>
      </w:r>
      <w:r>
        <w:rPr>
          <w:szCs w:val="14"/>
        </w:rPr>
        <w:t>« </w:t>
      </w:r>
      <w:r w:rsidRPr="00BF4073">
        <w:rPr>
          <w:szCs w:val="14"/>
        </w:rPr>
        <w:t xml:space="preserve">La </w:t>
      </w:r>
      <w:r w:rsidRPr="00BF4073">
        <w:rPr>
          <w:i/>
          <w:iCs/>
          <w:szCs w:val="14"/>
        </w:rPr>
        <w:t>démocratie à l'épreuve de la crise de l'État-nation</w:t>
      </w:r>
      <w:r>
        <w:rPr>
          <w:i/>
          <w:iCs/>
          <w:szCs w:val="14"/>
        </w:rPr>
        <w:t> »</w:t>
      </w:r>
      <w:r w:rsidRPr="00BF4073">
        <w:rPr>
          <w:i/>
          <w:iCs/>
          <w:szCs w:val="14"/>
        </w:rPr>
        <w:t xml:space="preserve"> </w:t>
      </w:r>
      <w:r w:rsidRPr="00BF4073">
        <w:rPr>
          <w:szCs w:val="14"/>
        </w:rPr>
        <w:t xml:space="preserve">in </w:t>
      </w:r>
      <w:r w:rsidRPr="00BF4073">
        <w:rPr>
          <w:i/>
          <w:iCs/>
          <w:szCs w:val="14"/>
        </w:rPr>
        <w:t xml:space="preserve">Le Monde Diplomatique, </w:t>
      </w:r>
      <w:r w:rsidRPr="00BF4073">
        <w:rPr>
          <w:szCs w:val="14"/>
        </w:rPr>
        <w:t>janvier 1994.</w:t>
      </w:r>
    </w:p>
  </w:footnote>
  <w:footnote w:id="38">
    <w:p w14:paraId="3A759C1B" w14:textId="77777777" w:rsidR="000407A5" w:rsidRDefault="000407A5" w:rsidP="000407A5">
      <w:pPr>
        <w:pStyle w:val="Notedebasdepage"/>
      </w:pPr>
      <w:r>
        <w:rPr>
          <w:rStyle w:val="Appelnotedebasdep"/>
        </w:rPr>
        <w:footnoteRef/>
      </w:r>
      <w:r>
        <w:t xml:space="preserve"> </w:t>
      </w:r>
      <w:r>
        <w:tab/>
      </w:r>
      <w:r w:rsidRPr="00BF4073">
        <w:rPr>
          <w:szCs w:val="14"/>
        </w:rPr>
        <w:t>L'exclusion des droits civils est cependant</w:t>
      </w:r>
      <w:r>
        <w:rPr>
          <w:szCs w:val="14"/>
        </w:rPr>
        <w:t xml:space="preserve"> </w:t>
      </w:r>
      <w:r w:rsidRPr="00BF4073">
        <w:rPr>
          <w:szCs w:val="14"/>
        </w:rPr>
        <w:t>justifiée par une a</w:t>
      </w:r>
      <w:r w:rsidRPr="00BF4073">
        <w:rPr>
          <w:szCs w:val="14"/>
        </w:rPr>
        <w:t>r</w:t>
      </w:r>
      <w:r w:rsidRPr="00BF4073">
        <w:rPr>
          <w:szCs w:val="14"/>
        </w:rPr>
        <w:t>gumentation tout à fait différente par rapport au pauvre ou à l'immigré dans la mesure où le fou est comparé à un enfant, à un mineur.</w:t>
      </w:r>
    </w:p>
  </w:footnote>
  <w:footnote w:id="39">
    <w:p w14:paraId="4CF281D6" w14:textId="77777777" w:rsidR="000407A5" w:rsidRDefault="000407A5" w:rsidP="000407A5">
      <w:pPr>
        <w:pStyle w:val="Notedebasdepage"/>
      </w:pPr>
      <w:r>
        <w:rPr>
          <w:rStyle w:val="Appelnotedebasdep"/>
        </w:rPr>
        <w:footnoteRef/>
      </w:r>
      <w:r>
        <w:t xml:space="preserve"> </w:t>
      </w:r>
      <w:r>
        <w:tab/>
      </w:r>
      <w:r w:rsidRPr="00BF4073">
        <w:rPr>
          <w:szCs w:val="14"/>
        </w:rPr>
        <w:t>Sur les relations entre racisme (</w:t>
      </w:r>
      <w:r>
        <w:rPr>
          <w:szCs w:val="14"/>
        </w:rPr>
        <w:t>« </w:t>
      </w:r>
      <w:r w:rsidRPr="00BF4073">
        <w:rPr>
          <w:szCs w:val="14"/>
        </w:rPr>
        <w:t>ethnique</w:t>
      </w:r>
      <w:r>
        <w:rPr>
          <w:szCs w:val="14"/>
        </w:rPr>
        <w:t> »</w:t>
      </w:r>
      <w:r w:rsidRPr="00BF4073">
        <w:rPr>
          <w:szCs w:val="14"/>
        </w:rPr>
        <w:t xml:space="preserve">) et racisme de classe on pourra consulter le n° 2 de </w:t>
      </w:r>
      <w:r w:rsidRPr="00BF4073">
        <w:rPr>
          <w:i/>
          <w:iCs/>
          <w:szCs w:val="14"/>
        </w:rPr>
        <w:t xml:space="preserve">Critiques sociales </w:t>
      </w:r>
      <w:r w:rsidRPr="00BF4073">
        <w:rPr>
          <w:szCs w:val="14"/>
        </w:rPr>
        <w:t>(décembre 1991) qui est entièrement consacré à ce thème.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6D5C3" w14:textId="77777777" w:rsidR="000407A5" w:rsidRDefault="000407A5" w:rsidP="000407A5">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 xml:space="preserve">Roland Pfefferkorn, </w:t>
    </w:r>
    <w:r w:rsidRPr="0012782F">
      <w:rPr>
        <w:rFonts w:ascii="Times New Roman" w:hAnsi="Times New Roman"/>
      </w:rPr>
      <w:t>“</w:t>
    </w:r>
    <w:r>
      <w:rPr>
        <w:rFonts w:ascii="Times New Roman" w:hAnsi="Times New Roman"/>
      </w:rPr>
      <w:t>Figures de l’altérité. Le fou et l’immigré.</w:t>
    </w:r>
    <w:r w:rsidRPr="0012782F">
      <w:rPr>
        <w:rFonts w:ascii="Times New Roman" w:hAnsi="Times New Roman"/>
      </w:rPr>
      <w:t>”</w:t>
    </w:r>
    <w:r w:rsidRPr="00C90835">
      <w:rPr>
        <w:rFonts w:ascii="Times New Roman" w:hAnsi="Times New Roman"/>
      </w:rPr>
      <w:t xml:space="preserve"> </w:t>
    </w:r>
    <w:r>
      <w:rPr>
        <w:rFonts w:ascii="Times New Roman" w:hAnsi="Times New Roman"/>
      </w:rPr>
      <w:t>(1994)</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26</w:t>
    </w:r>
    <w:r>
      <w:rPr>
        <w:rStyle w:val="Numrodepage"/>
        <w:rFonts w:ascii="Times New Roman" w:hAnsi="Times New Roman"/>
      </w:rPr>
      <w:fldChar w:fldCharType="end"/>
    </w:r>
  </w:p>
  <w:p w14:paraId="57F376AD" w14:textId="77777777" w:rsidR="000407A5" w:rsidRDefault="000407A5">
    <w:pPr>
      <w:pBdr>
        <w:top w:val="single" w:sz="4" w:space="1" w:color="auto"/>
      </w:pBdr>
      <w:spacing w:before="60"/>
      <w:rPr>
        <w:rStyle w:val="Numrodepage"/>
        <w:rFonts w:ascii="GillSans" w:hAnsi="GillSan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85E0F"/>
    <w:multiLevelType w:val="multilevel"/>
    <w:tmpl w:val="4DB0E628"/>
    <w:lvl w:ilvl="0">
      <w:start w:val="2"/>
      <w:numFmt w:val="decimal"/>
      <w:lvlText w:val="%1)"/>
      <w:lvlJc w:val="left"/>
      <w:rPr>
        <w:rFonts w:ascii="Arial" w:eastAsia="Arial" w:hAnsi="Arial" w:cs="GillSan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F138D1"/>
    <w:multiLevelType w:val="multilevel"/>
    <w:tmpl w:val="B2643CF4"/>
    <w:lvl w:ilvl="0">
      <w:start w:val="1"/>
      <w:numFmt w:val="upperRoman"/>
      <w:lvlText w:val="%1."/>
      <w:lvlJc w:val="left"/>
      <w:rPr>
        <w:rFonts w:ascii="Arial" w:eastAsia="Arial" w:hAnsi="Arial" w:cs="GillSan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220D6F"/>
    <w:multiLevelType w:val="multilevel"/>
    <w:tmpl w:val="314A6B78"/>
    <w:lvl w:ilvl="0">
      <w:start w:val="1"/>
      <w:numFmt w:val="upperLetter"/>
      <w:lvlText w:val="%1)"/>
      <w:lvlJc w:val="left"/>
      <w:rPr>
        <w:rFonts w:ascii="Arial" w:eastAsia="Arial" w:hAnsi="Arial" w:cs="GillSan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7F7CC4"/>
    <w:multiLevelType w:val="multilevel"/>
    <w:tmpl w:val="5F42C9CC"/>
    <w:lvl w:ilvl="0">
      <w:start w:val="5"/>
      <w:numFmt w:val="upperRoman"/>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84489C"/>
    <w:multiLevelType w:val="singleLevel"/>
    <w:tmpl w:val="9662D340"/>
    <w:lvl w:ilvl="0">
      <w:start w:val="28"/>
      <w:numFmt w:val="decimal"/>
      <w:lvlText w:val="%1."/>
      <w:legacy w:legacy="1" w:legacySpace="0" w:legacyIndent="274"/>
      <w:lvlJc w:val="left"/>
      <w:rPr>
        <w:rFonts w:ascii="Times New Roman" w:hAnsi="Times New Roman" w:hint="default"/>
      </w:rPr>
    </w:lvl>
  </w:abstractNum>
  <w:abstractNum w:abstractNumId="5" w15:restartNumberingAfterBreak="0">
    <w:nsid w:val="09C338FF"/>
    <w:multiLevelType w:val="multilevel"/>
    <w:tmpl w:val="940E4910"/>
    <w:lvl w:ilvl="0">
      <w:start w:val="1"/>
      <w:numFmt w:val="decimal"/>
      <w:lvlText w:val="%1)"/>
      <w:lvlJc w:val="left"/>
      <w:rPr>
        <w:rFonts w:ascii="Arial" w:eastAsia="Arial" w:hAnsi="Arial" w:cs="GillSan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0263F3"/>
    <w:multiLevelType w:val="multilevel"/>
    <w:tmpl w:val="50D2DA94"/>
    <w:lvl w:ilvl="0">
      <w:start w:val="3"/>
      <w:numFmt w:val="decimal"/>
      <w:lvlText w:val="%1)"/>
      <w:lvlJc w:val="left"/>
      <w:rPr>
        <w:rFonts w:ascii="Arial" w:eastAsia="Arial" w:hAnsi="Arial" w:cs="GillSan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2B551E1"/>
    <w:multiLevelType w:val="multilevel"/>
    <w:tmpl w:val="DE40F5E6"/>
    <w:lvl w:ilvl="0">
      <w:start w:val="3"/>
      <w:numFmt w:val="decimal"/>
      <w:lvlText w:val="%1)"/>
      <w:lvlJc w:val="left"/>
      <w:rPr>
        <w:rFonts w:ascii="Arial" w:eastAsia="Arial" w:hAnsi="Arial" w:cs="GillSan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36414D2"/>
    <w:multiLevelType w:val="singleLevel"/>
    <w:tmpl w:val="C3701CF6"/>
    <w:lvl w:ilvl="0">
      <w:start w:val="15"/>
      <w:numFmt w:val="decimal"/>
      <w:lvlText w:val="%1."/>
      <w:legacy w:legacy="1" w:legacySpace="0" w:legacyIndent="245"/>
      <w:lvlJc w:val="left"/>
      <w:rPr>
        <w:rFonts w:ascii="Times New Roman" w:hAnsi="Times New Roman" w:hint="default"/>
      </w:rPr>
    </w:lvl>
  </w:abstractNum>
  <w:abstractNum w:abstractNumId="9" w15:restartNumberingAfterBreak="0">
    <w:nsid w:val="198E0E84"/>
    <w:multiLevelType w:val="multilevel"/>
    <w:tmpl w:val="1D2CA2D2"/>
    <w:lvl w:ilvl="0">
      <w:start w:val="1"/>
      <w:numFmt w:val="lowerLetter"/>
      <w:lvlText w:val="%1)"/>
      <w:lvlJc w:val="left"/>
      <w:rPr>
        <w:rFonts w:ascii="Arial" w:eastAsia="Arial" w:hAnsi="Arial" w:cs="GillSan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AF43706"/>
    <w:multiLevelType w:val="multilevel"/>
    <w:tmpl w:val="47DAD270"/>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7965290"/>
    <w:multiLevelType w:val="multilevel"/>
    <w:tmpl w:val="709231D0"/>
    <w:lvl w:ilvl="0">
      <w:start w:val="1"/>
      <w:numFmt w:val="upperRoman"/>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E9F5521"/>
    <w:multiLevelType w:val="multilevel"/>
    <w:tmpl w:val="3CE22158"/>
    <w:lvl w:ilvl="0">
      <w:start w:val="1"/>
      <w:numFmt w:val="upperRoman"/>
      <w:lvlText w:val="%1."/>
      <w:lvlJc w:val="left"/>
      <w:rPr>
        <w:rFonts w:ascii="Arial" w:eastAsia="Arial" w:hAnsi="Arial" w:cs="GillSan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8548D8"/>
    <w:multiLevelType w:val="multilevel"/>
    <w:tmpl w:val="7C7AEB50"/>
    <w:lvl w:ilvl="0">
      <w:start w:val="1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73939E2"/>
    <w:multiLevelType w:val="multilevel"/>
    <w:tmpl w:val="88CA30FC"/>
    <w:lvl w:ilvl="0">
      <w:start w:val="1"/>
      <w:numFmt w:val="decimal"/>
      <w:lvlText w:val="%1)"/>
      <w:lvlJc w:val="left"/>
      <w:rPr>
        <w:rFonts w:ascii="Arial" w:eastAsia="Arial" w:hAnsi="Arial" w:cs="GillSan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9C32B2C"/>
    <w:multiLevelType w:val="multilevel"/>
    <w:tmpl w:val="DD8CFF0C"/>
    <w:lvl w:ilvl="0">
      <w:start w:val="1"/>
      <w:numFmt w:val="decimal"/>
      <w:lvlText w:val="%1."/>
      <w:lvlJc w:val="left"/>
      <w:rPr>
        <w:rFonts w:ascii="Arial" w:eastAsia="Arial" w:hAnsi="Arial" w:cs="GillSan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E1F6520"/>
    <w:multiLevelType w:val="singleLevel"/>
    <w:tmpl w:val="8C18F790"/>
    <w:lvl w:ilvl="0">
      <w:start w:val="25"/>
      <w:numFmt w:val="decimal"/>
      <w:lvlText w:val="%1."/>
      <w:legacy w:legacy="1" w:legacySpace="0" w:legacyIndent="245"/>
      <w:lvlJc w:val="left"/>
      <w:rPr>
        <w:rFonts w:ascii="Times New Roman" w:hAnsi="Times New Roman" w:hint="default"/>
      </w:rPr>
    </w:lvl>
  </w:abstractNum>
  <w:abstractNum w:abstractNumId="17" w15:restartNumberingAfterBreak="0">
    <w:nsid w:val="46C41B8E"/>
    <w:multiLevelType w:val="singleLevel"/>
    <w:tmpl w:val="6218CC26"/>
    <w:lvl w:ilvl="0">
      <w:start w:val="32"/>
      <w:numFmt w:val="decimal"/>
      <w:lvlText w:val="%1."/>
      <w:legacy w:legacy="1" w:legacySpace="0" w:legacyIndent="264"/>
      <w:lvlJc w:val="left"/>
      <w:rPr>
        <w:rFonts w:ascii="Times New Roman" w:hAnsi="Times New Roman" w:hint="default"/>
      </w:rPr>
    </w:lvl>
  </w:abstractNum>
  <w:abstractNum w:abstractNumId="18" w15:restartNumberingAfterBreak="0">
    <w:nsid w:val="4CB870BC"/>
    <w:multiLevelType w:val="multilevel"/>
    <w:tmpl w:val="50AE865C"/>
    <w:lvl w:ilvl="0">
      <w:start w:val="1"/>
      <w:numFmt w:val="decimal"/>
      <w:lvlText w:val="%1-"/>
      <w:lvlJc w:val="left"/>
      <w:rPr>
        <w:rFonts w:ascii="Arial" w:eastAsia="Arial" w:hAnsi="Arial" w:cs="GillSan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ECB0F77"/>
    <w:multiLevelType w:val="multilevel"/>
    <w:tmpl w:val="DCE86AB4"/>
    <w:lvl w:ilvl="0">
      <w:start w:val="1"/>
      <w:numFmt w:val="lowerRoman"/>
      <w:lvlText w:val="%1)"/>
      <w:lvlJc w:val="left"/>
      <w:rPr>
        <w:rFonts w:ascii="Arial" w:eastAsia="Arial" w:hAnsi="Arial" w:cs="GillSan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3745C52"/>
    <w:multiLevelType w:val="multilevel"/>
    <w:tmpl w:val="FACE65FE"/>
    <w:lvl w:ilvl="0">
      <w:start w:val="1"/>
      <w:numFmt w:val="decimal"/>
      <w:lvlText w:val="%1)"/>
      <w:lvlJc w:val="left"/>
      <w:rPr>
        <w:rFonts w:ascii="Arial" w:eastAsia="Arial" w:hAnsi="Arial" w:cs="GillSan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571171F"/>
    <w:multiLevelType w:val="multilevel"/>
    <w:tmpl w:val="6AEE97E0"/>
    <w:lvl w:ilvl="0">
      <w:start w:val="1"/>
      <w:numFmt w:val="decimal"/>
      <w:lvlText w:val="%1)"/>
      <w:lvlJc w:val="left"/>
      <w:rPr>
        <w:rFonts w:ascii="Arial" w:eastAsia="Arial" w:hAnsi="Arial" w:cs="GillSan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C002A76"/>
    <w:multiLevelType w:val="singleLevel"/>
    <w:tmpl w:val="53DEEDAE"/>
    <w:lvl w:ilvl="0">
      <w:start w:val="1"/>
      <w:numFmt w:val="decimal"/>
      <w:lvlText w:val="%1."/>
      <w:legacy w:legacy="1" w:legacySpace="0" w:legacyIndent="274"/>
      <w:lvlJc w:val="left"/>
      <w:rPr>
        <w:rFonts w:ascii="Times New Roman" w:hAnsi="Times New Roman" w:hint="default"/>
      </w:rPr>
    </w:lvl>
  </w:abstractNum>
  <w:abstractNum w:abstractNumId="23" w15:restartNumberingAfterBreak="0">
    <w:nsid w:val="5DE551AD"/>
    <w:multiLevelType w:val="multilevel"/>
    <w:tmpl w:val="23D05EB0"/>
    <w:lvl w:ilvl="0">
      <w:start w:val="1"/>
      <w:numFmt w:val="upperRoman"/>
      <w:lvlText w:val="%1."/>
      <w:lvlJc w:val="left"/>
      <w:rPr>
        <w:rFonts w:ascii="Arial" w:eastAsia="Arial" w:hAnsi="Arial" w:cs="GillSan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5326E94"/>
    <w:multiLevelType w:val="singleLevel"/>
    <w:tmpl w:val="53DEEDAE"/>
    <w:lvl w:ilvl="0">
      <w:start w:val="1"/>
      <w:numFmt w:val="decimal"/>
      <w:lvlText w:val="%1."/>
      <w:legacy w:legacy="1" w:legacySpace="0" w:legacyIndent="273"/>
      <w:lvlJc w:val="left"/>
      <w:rPr>
        <w:rFonts w:ascii="Times New Roman" w:hAnsi="Times New Roman" w:hint="default"/>
      </w:rPr>
    </w:lvl>
  </w:abstractNum>
  <w:abstractNum w:abstractNumId="25" w15:restartNumberingAfterBreak="0">
    <w:nsid w:val="6B85122C"/>
    <w:multiLevelType w:val="multilevel"/>
    <w:tmpl w:val="C07ABF1A"/>
    <w:lvl w:ilvl="0">
      <w:start w:val="2"/>
      <w:numFmt w:val="decimal"/>
      <w:lvlText w:val="%1-"/>
      <w:lvlJc w:val="left"/>
      <w:rPr>
        <w:rFonts w:ascii="Arial" w:eastAsia="Arial" w:hAnsi="Arial" w:cs="GillSan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1731B3B"/>
    <w:multiLevelType w:val="singleLevel"/>
    <w:tmpl w:val="C9F8AFF0"/>
    <w:lvl w:ilvl="0">
      <w:start w:val="7"/>
      <w:numFmt w:val="decimal"/>
      <w:lvlText w:val="%1."/>
      <w:legacy w:legacy="1" w:legacySpace="0" w:legacyIndent="264"/>
      <w:lvlJc w:val="left"/>
      <w:rPr>
        <w:rFonts w:ascii="Times New Roman" w:hAnsi="Times New Roman" w:hint="default"/>
      </w:rPr>
    </w:lvl>
  </w:abstractNum>
  <w:abstractNum w:abstractNumId="27" w15:restartNumberingAfterBreak="0">
    <w:nsid w:val="75CA21F8"/>
    <w:multiLevelType w:val="multilevel"/>
    <w:tmpl w:val="B978A016"/>
    <w:lvl w:ilvl="0">
      <w:start w:val="3"/>
      <w:numFmt w:val="upperRoman"/>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7971B2A"/>
    <w:multiLevelType w:val="multilevel"/>
    <w:tmpl w:val="B9FA3954"/>
    <w:lvl w:ilvl="0">
      <w:start w:val="1"/>
      <w:numFmt w:val="decimal"/>
      <w:lvlText w:val="%1)"/>
      <w:lvlJc w:val="left"/>
      <w:rPr>
        <w:rFonts w:ascii="Arial" w:eastAsia="Arial" w:hAnsi="Arial" w:cs="GillSan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E2347D0"/>
    <w:multiLevelType w:val="singleLevel"/>
    <w:tmpl w:val="6218CC26"/>
    <w:lvl w:ilvl="0">
      <w:start w:val="32"/>
      <w:numFmt w:val="decimal"/>
      <w:lvlText w:val="%1."/>
      <w:legacy w:legacy="1" w:legacySpace="0" w:legacyIndent="264"/>
      <w:lvlJc w:val="left"/>
      <w:rPr>
        <w:rFonts w:ascii="Times New Roman" w:hAnsi="Times New Roman" w:hint="default"/>
      </w:rPr>
    </w:lvl>
  </w:abstractNum>
  <w:num w:numId="1" w16cid:durableId="1423405366">
    <w:abstractNumId w:val="11"/>
  </w:num>
  <w:num w:numId="2" w16cid:durableId="1915892038">
    <w:abstractNumId w:val="13"/>
  </w:num>
  <w:num w:numId="3" w16cid:durableId="2131239170">
    <w:abstractNumId w:val="27"/>
  </w:num>
  <w:num w:numId="4" w16cid:durableId="325590639">
    <w:abstractNumId w:val="3"/>
  </w:num>
  <w:num w:numId="5" w16cid:durableId="1307590806">
    <w:abstractNumId w:val="10"/>
  </w:num>
  <w:num w:numId="6" w16cid:durableId="1768306235">
    <w:abstractNumId w:val="18"/>
  </w:num>
  <w:num w:numId="7" w16cid:durableId="822545070">
    <w:abstractNumId w:val="25"/>
  </w:num>
  <w:num w:numId="8" w16cid:durableId="1734043958">
    <w:abstractNumId w:val="23"/>
  </w:num>
  <w:num w:numId="9" w16cid:durableId="381638595">
    <w:abstractNumId w:val="0"/>
  </w:num>
  <w:num w:numId="10" w16cid:durableId="730495863">
    <w:abstractNumId w:val="1"/>
  </w:num>
  <w:num w:numId="11" w16cid:durableId="1452817540">
    <w:abstractNumId w:val="21"/>
  </w:num>
  <w:num w:numId="12" w16cid:durableId="1109468898">
    <w:abstractNumId w:val="28"/>
  </w:num>
  <w:num w:numId="13" w16cid:durableId="1890065362">
    <w:abstractNumId w:val="20"/>
  </w:num>
  <w:num w:numId="14" w16cid:durableId="1926374229">
    <w:abstractNumId w:val="7"/>
  </w:num>
  <w:num w:numId="15" w16cid:durableId="687604919">
    <w:abstractNumId w:val="5"/>
  </w:num>
  <w:num w:numId="16" w16cid:durableId="162552308">
    <w:abstractNumId w:val="14"/>
  </w:num>
  <w:num w:numId="17" w16cid:durableId="1097599288">
    <w:abstractNumId w:val="19"/>
  </w:num>
  <w:num w:numId="18" w16cid:durableId="1544948399">
    <w:abstractNumId w:val="6"/>
  </w:num>
  <w:num w:numId="19" w16cid:durableId="291833300">
    <w:abstractNumId w:val="2"/>
  </w:num>
  <w:num w:numId="20" w16cid:durableId="1240336037">
    <w:abstractNumId w:val="12"/>
  </w:num>
  <w:num w:numId="21" w16cid:durableId="177156539">
    <w:abstractNumId w:val="15"/>
  </w:num>
  <w:num w:numId="22" w16cid:durableId="378015371">
    <w:abstractNumId w:val="9"/>
  </w:num>
  <w:num w:numId="23" w16cid:durableId="497040964">
    <w:abstractNumId w:val="22"/>
  </w:num>
  <w:num w:numId="24" w16cid:durableId="1779525198">
    <w:abstractNumId w:val="22"/>
    <w:lvlOverride w:ilvl="0">
      <w:lvl w:ilvl="0">
        <w:start w:val="1"/>
        <w:numFmt w:val="decimal"/>
        <w:lvlText w:val="%1."/>
        <w:legacy w:legacy="1" w:legacySpace="0" w:legacyIndent="273"/>
        <w:lvlJc w:val="left"/>
        <w:rPr>
          <w:rFonts w:ascii="Times New Roman" w:hAnsi="Times New Roman" w:hint="default"/>
        </w:rPr>
      </w:lvl>
    </w:lvlOverride>
  </w:num>
  <w:num w:numId="25" w16cid:durableId="330371096">
    <w:abstractNumId w:val="24"/>
  </w:num>
  <w:num w:numId="26" w16cid:durableId="744374256">
    <w:abstractNumId w:val="26"/>
  </w:num>
  <w:num w:numId="27" w16cid:durableId="624123846">
    <w:abstractNumId w:val="8"/>
  </w:num>
  <w:num w:numId="28" w16cid:durableId="2025589709">
    <w:abstractNumId w:val="16"/>
  </w:num>
  <w:num w:numId="29" w16cid:durableId="1657950446">
    <w:abstractNumId w:val="4"/>
  </w:num>
  <w:num w:numId="30" w16cid:durableId="33121058">
    <w:abstractNumId w:val="29"/>
  </w:num>
  <w:num w:numId="31" w16cid:durableId="128168830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0407A5"/>
    <w:rsid w:val="009665DC"/>
    <w:rsid w:val="00E26D64"/>
  </w:rsids>
  <m:mathPr>
    <m:mathFont m:val="Cambria Math"/>
    <m:brkBin m:val="before"/>
    <m:brkBinSub m:val="--"/>
    <m:smallFrac/>
    <m:dispDef/>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49FA90E"/>
  <w15:chartTrackingRefBased/>
  <w15:docId w15:val="{F27AA139-E640-0B48-B6A6-452BB9DCD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Table Grid" w:uiPriority="99"/>
    <w:lsdException w:name="No Spacing" w:qFormat="1"/>
    <w:lsdException w:name="Medium Grid 2" w:qFormat="1"/>
    <w:lsdException w:name="List Paragraph" w:qFormat="1"/>
    <w:lsdException w:name="Quote" w:qFormat="1"/>
    <w:lsdException w:name="Intense Quote" w:qFormat="1"/>
    <w:lsdException w:name="Colorful List Accent 1" w:qFormat="1"/>
    <w:lsdException w:name="Colorful Grid Accent 1" w:qFormat="1"/>
    <w:lsdException w:name="Light Shading Accent 2"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3"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customStyle="1" w:styleId="Grillecouleur-Accent11">
    <w:name w:val="Grille couleur - Accent 11"/>
    <w:basedOn w:val="Normal"/>
    <w:link w:val="Grillecouleur-Accent1Car"/>
    <w:autoRedefine/>
    <w:rsid w:val="00F8147D"/>
    <w:pPr>
      <w:spacing w:before="120" w:after="120"/>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7150EF"/>
    <w:pPr>
      <w:widowControl w:val="0"/>
      <w:pBdr>
        <w:bottom w:val="none" w:sz="0" w:space="0" w:color="auto"/>
      </w:pBdr>
      <w:spacing w:before="120"/>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basedOn w:val="Policepardfaut"/>
    <w:uiPriority w:val="99"/>
    <w:rsid w:val="006614FD"/>
    <w:rPr>
      <w:color w:val="0000FF"/>
      <w:u w:val="single"/>
    </w:rPr>
  </w:style>
  <w:style w:type="character" w:styleId="Lien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805D2F"/>
    <w:pPr>
      <w:tabs>
        <w:tab w:val="left" w:pos="720"/>
      </w:tabs>
      <w:ind w:left="360" w:hanging="36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630EF3"/>
    <w:rPr>
      <w:b w:val="0"/>
      <w:sz w:val="56"/>
    </w:rPr>
  </w:style>
  <w:style w:type="paragraph" w:customStyle="1" w:styleId="GridTab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F33D1D"/>
    <w:pPr>
      <w:ind w:firstLine="0"/>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Corpsdutexte6">
    <w:name w:val="Corps du texte (6)"/>
    <w:basedOn w:val="Policepardfaut"/>
    <w:rsid w:val="0090190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character" w:customStyle="1" w:styleId="Corpsdutexte2">
    <w:name w:val="Corps du texte (2)_"/>
    <w:basedOn w:val="Policepardfaut"/>
    <w:link w:val="Corpsdutexte20"/>
    <w:rsid w:val="0090190D"/>
    <w:rPr>
      <w:rFonts w:ascii="Times New Roman" w:eastAsia="Times New Roman" w:hAnsi="Times New Roman"/>
      <w:sz w:val="22"/>
      <w:szCs w:val="22"/>
      <w:shd w:val="clear" w:color="auto" w:fill="FFFFFF"/>
    </w:rPr>
  </w:style>
  <w:style w:type="character" w:customStyle="1" w:styleId="Corpsdutexte2Exact">
    <w:name w:val="Corps du texte (2) Exact"/>
    <w:basedOn w:val="Policepardfaut"/>
    <w:rsid w:val="0090190D"/>
    <w:rPr>
      <w:rFonts w:ascii="Times New Roman" w:eastAsia="Times New Roman" w:hAnsi="Times New Roman" w:cs="Times New Roman"/>
      <w:b w:val="0"/>
      <w:bCs w:val="0"/>
      <w:i w:val="0"/>
      <w:iCs w:val="0"/>
      <w:smallCaps w:val="0"/>
      <w:strike w:val="0"/>
      <w:sz w:val="22"/>
      <w:szCs w:val="22"/>
      <w:u w:val="none"/>
    </w:rPr>
  </w:style>
  <w:style w:type="paragraph" w:customStyle="1" w:styleId="Corpsdutexte20">
    <w:name w:val="Corps du texte (2)"/>
    <w:basedOn w:val="Normal"/>
    <w:link w:val="Corpsdutexte2"/>
    <w:rsid w:val="0090190D"/>
    <w:pPr>
      <w:widowControl w:val="0"/>
      <w:shd w:val="clear" w:color="auto" w:fill="FFFFFF"/>
      <w:spacing w:before="120" w:after="60" w:line="269" w:lineRule="exact"/>
      <w:ind w:hanging="6"/>
      <w:jc w:val="both"/>
    </w:pPr>
    <w:rPr>
      <w:sz w:val="22"/>
      <w:szCs w:val="22"/>
      <w:lang w:val="fr-FR" w:eastAsia="fr-FR"/>
    </w:rPr>
  </w:style>
  <w:style w:type="character" w:customStyle="1" w:styleId="Corpsdutexte2Gras">
    <w:name w:val="Corps du texte (2) + Gras"/>
    <w:basedOn w:val="Corpsdutexte2"/>
    <w:rsid w:val="0090190D"/>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Notedebasdepage0">
    <w:name w:val="Note de bas de page_"/>
    <w:basedOn w:val="Policepardfaut"/>
    <w:link w:val="Notedebasdepage1"/>
    <w:rsid w:val="005F6132"/>
    <w:rPr>
      <w:rFonts w:ascii="Times New Roman" w:eastAsia="Times New Roman" w:hAnsi="Times New Roman"/>
      <w:sz w:val="19"/>
      <w:szCs w:val="19"/>
      <w:shd w:val="clear" w:color="auto" w:fill="FFFFFF"/>
    </w:rPr>
  </w:style>
  <w:style w:type="character" w:customStyle="1" w:styleId="Notedebasdepage8ptGrasItalique">
    <w:name w:val="Note de bas de page + 8 pt;Gras;Italique"/>
    <w:basedOn w:val="Notedebasdepage0"/>
    <w:rsid w:val="005F6132"/>
    <w:rPr>
      <w:rFonts w:ascii="Times New Roman" w:eastAsia="Times New Roman" w:hAnsi="Times New Roman"/>
      <w:b/>
      <w:bCs/>
      <w:i/>
      <w:iCs/>
      <w:color w:val="000000"/>
      <w:spacing w:val="0"/>
      <w:w w:val="100"/>
      <w:position w:val="0"/>
      <w:sz w:val="16"/>
      <w:szCs w:val="16"/>
      <w:shd w:val="clear" w:color="auto" w:fill="FFFFFF"/>
      <w:lang w:val="fr-FR" w:eastAsia="fr-FR" w:bidi="fr-FR"/>
    </w:rPr>
  </w:style>
  <w:style w:type="character" w:customStyle="1" w:styleId="Corpsdutexte60">
    <w:name w:val="Corps du texte (6)_"/>
    <w:basedOn w:val="Policepardfaut"/>
    <w:rsid w:val="005F6132"/>
    <w:rPr>
      <w:rFonts w:ascii="Times New Roman" w:eastAsia="Times New Roman" w:hAnsi="Times New Roman" w:cs="Times New Roman"/>
      <w:b w:val="0"/>
      <w:bCs w:val="0"/>
      <w:i w:val="0"/>
      <w:iCs w:val="0"/>
      <w:smallCaps w:val="0"/>
      <w:strike w:val="0"/>
      <w:sz w:val="28"/>
      <w:szCs w:val="28"/>
      <w:u w:val="none"/>
    </w:rPr>
  </w:style>
  <w:style w:type="character" w:customStyle="1" w:styleId="Corpsdutexte8">
    <w:name w:val="Corps du texte (8)_"/>
    <w:basedOn w:val="Policepardfaut"/>
    <w:link w:val="Corpsdutexte80"/>
    <w:rsid w:val="005F6132"/>
    <w:rPr>
      <w:rFonts w:ascii="AppleGothic" w:eastAsia="AppleGothic" w:hAnsi="AppleGothic" w:cs="AppleGothic"/>
      <w:sz w:val="32"/>
      <w:szCs w:val="32"/>
      <w:shd w:val="clear" w:color="auto" w:fill="FFFFFF"/>
    </w:rPr>
  </w:style>
  <w:style w:type="character" w:customStyle="1" w:styleId="En-tte2">
    <w:name w:val="En-tête #2_"/>
    <w:basedOn w:val="Policepardfaut"/>
    <w:link w:val="En-tte20"/>
    <w:rsid w:val="005F6132"/>
    <w:rPr>
      <w:rFonts w:ascii="Times New Roman" w:eastAsia="Times New Roman" w:hAnsi="Times New Roman"/>
      <w:b/>
      <w:bCs/>
      <w:w w:val="66"/>
      <w:sz w:val="90"/>
      <w:szCs w:val="90"/>
      <w:shd w:val="clear" w:color="auto" w:fill="FFFFFF"/>
    </w:rPr>
  </w:style>
  <w:style w:type="character" w:customStyle="1" w:styleId="Corpsdutexte9">
    <w:name w:val="Corps du texte (9)_"/>
    <w:basedOn w:val="Policepardfaut"/>
    <w:link w:val="Corpsdutexte90"/>
    <w:rsid w:val="005F6132"/>
    <w:rPr>
      <w:rFonts w:ascii="Times New Roman" w:eastAsia="Times New Roman" w:hAnsi="Times New Roman"/>
      <w:b/>
      <w:bCs/>
      <w:sz w:val="22"/>
      <w:szCs w:val="22"/>
      <w:shd w:val="clear" w:color="auto" w:fill="FFFFFF"/>
    </w:rPr>
  </w:style>
  <w:style w:type="character" w:customStyle="1" w:styleId="Corpsdutexte7Exact">
    <w:name w:val="Corps du texte (7) Exact"/>
    <w:basedOn w:val="Policepardfaut"/>
    <w:rsid w:val="005F6132"/>
    <w:rPr>
      <w:rFonts w:ascii="Times New Roman" w:eastAsia="Times New Roman" w:hAnsi="Times New Roman" w:cs="Times New Roman"/>
      <w:b w:val="0"/>
      <w:bCs w:val="0"/>
      <w:i w:val="0"/>
      <w:iCs w:val="0"/>
      <w:smallCaps w:val="0"/>
      <w:strike w:val="0"/>
      <w:sz w:val="20"/>
      <w:szCs w:val="20"/>
      <w:u w:val="none"/>
      <w:lang w:val="uz-Cyrl-UZ"/>
    </w:rPr>
  </w:style>
  <w:style w:type="character" w:customStyle="1" w:styleId="Corpsdutexte11Exact">
    <w:name w:val="Corps du texte (11) Exact"/>
    <w:basedOn w:val="Policepardfaut"/>
    <w:rsid w:val="005F6132"/>
    <w:rPr>
      <w:rFonts w:ascii="Times New Roman" w:eastAsia="Times New Roman" w:hAnsi="Times New Roman" w:cs="Times New Roman"/>
      <w:b w:val="0"/>
      <w:bCs w:val="0"/>
      <w:i/>
      <w:iCs/>
      <w:smallCaps w:val="0"/>
      <w:strike w:val="0"/>
      <w:sz w:val="22"/>
      <w:szCs w:val="22"/>
      <w:u w:val="none"/>
    </w:rPr>
  </w:style>
  <w:style w:type="character" w:customStyle="1" w:styleId="En-tteoupieddepageExact">
    <w:name w:val="En-tête ou pied de page Exact"/>
    <w:basedOn w:val="Policepardfaut"/>
    <w:rsid w:val="005F6132"/>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10">
    <w:name w:val="Corps du texte (10)_"/>
    <w:basedOn w:val="Policepardfaut"/>
    <w:link w:val="Corpsdutexte100"/>
    <w:rsid w:val="005F6132"/>
    <w:rPr>
      <w:rFonts w:ascii="Times New Roman" w:eastAsia="Times New Roman" w:hAnsi="Times New Roman"/>
      <w:sz w:val="19"/>
      <w:szCs w:val="19"/>
      <w:shd w:val="clear" w:color="auto" w:fill="FFFFFF"/>
    </w:rPr>
  </w:style>
  <w:style w:type="character" w:customStyle="1" w:styleId="TM4Car">
    <w:name w:val="TM 4 Car"/>
    <w:basedOn w:val="Policepardfaut"/>
    <w:link w:val="TM4"/>
    <w:rsid w:val="005F6132"/>
    <w:rPr>
      <w:rFonts w:ascii="Times New Roman" w:eastAsia="Times New Roman" w:hAnsi="Times New Roman"/>
      <w:sz w:val="22"/>
      <w:szCs w:val="22"/>
      <w:shd w:val="clear" w:color="auto" w:fill="FFFFFF"/>
    </w:rPr>
  </w:style>
  <w:style w:type="character" w:customStyle="1" w:styleId="Tabledesmatires8ptGras">
    <w:name w:val="Table des matières + 8 pt;Gras"/>
    <w:basedOn w:val="TM4Car"/>
    <w:rsid w:val="005F6132"/>
    <w:rPr>
      <w:rFonts w:ascii="Times New Roman" w:eastAsia="Times New Roman" w:hAnsi="Times New Roman"/>
      <w:b/>
      <w:bCs/>
      <w:color w:val="000000"/>
      <w:spacing w:val="0"/>
      <w:w w:val="100"/>
      <w:position w:val="0"/>
      <w:sz w:val="16"/>
      <w:szCs w:val="16"/>
      <w:shd w:val="clear" w:color="auto" w:fill="FFFFFF"/>
      <w:lang w:val="fr-FR" w:eastAsia="fr-FR" w:bidi="fr-FR"/>
    </w:rPr>
  </w:style>
  <w:style w:type="character" w:customStyle="1" w:styleId="TabledesmatiresGras">
    <w:name w:val="Table des matières + Gras"/>
    <w:basedOn w:val="TM4Car"/>
    <w:rsid w:val="005F6132"/>
    <w:rPr>
      <w:rFonts w:ascii="Times New Roman" w:eastAsia="Times New Roman" w:hAnsi="Times New Roman"/>
      <w:b/>
      <w:bCs/>
      <w:color w:val="000000"/>
      <w:spacing w:val="0"/>
      <w:w w:val="100"/>
      <w:position w:val="0"/>
      <w:sz w:val="22"/>
      <w:szCs w:val="22"/>
      <w:shd w:val="clear" w:color="auto" w:fill="FFFFFF"/>
      <w:lang w:val="fr-FR" w:eastAsia="fr-FR" w:bidi="fr-FR"/>
    </w:rPr>
  </w:style>
  <w:style w:type="character" w:customStyle="1" w:styleId="Corpsdutexte12">
    <w:name w:val="Corps du texte (12)_"/>
    <w:basedOn w:val="Policepardfaut"/>
    <w:link w:val="Corpsdutexte120"/>
    <w:rsid w:val="005F6132"/>
    <w:rPr>
      <w:rFonts w:ascii="Times New Roman" w:eastAsia="Times New Roman" w:hAnsi="Times New Roman"/>
      <w:b/>
      <w:bCs/>
      <w:sz w:val="16"/>
      <w:szCs w:val="16"/>
      <w:shd w:val="clear" w:color="auto" w:fill="FFFFFF"/>
    </w:rPr>
  </w:style>
  <w:style w:type="character" w:customStyle="1" w:styleId="En-tteoupieddepage">
    <w:name w:val="En-tête ou pied de page_"/>
    <w:basedOn w:val="Policepardfaut"/>
    <w:rsid w:val="005F6132"/>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14Exact">
    <w:name w:val="Corps du texte (14) Exact"/>
    <w:basedOn w:val="Policepardfaut"/>
    <w:link w:val="Corpsdutexte14"/>
    <w:rsid w:val="005F6132"/>
    <w:rPr>
      <w:rFonts w:ascii="AppleGothic" w:eastAsia="AppleGothic" w:hAnsi="AppleGothic" w:cs="AppleGothic"/>
      <w:i/>
      <w:iCs/>
      <w:sz w:val="14"/>
      <w:szCs w:val="14"/>
      <w:shd w:val="clear" w:color="auto" w:fill="FFFFFF"/>
    </w:rPr>
  </w:style>
  <w:style w:type="character" w:customStyle="1" w:styleId="Corpsdutexte13">
    <w:name w:val="Corps du texte (13)_"/>
    <w:basedOn w:val="Policepardfaut"/>
    <w:rsid w:val="005F6132"/>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15">
    <w:name w:val="Corps du texte (15)_"/>
    <w:basedOn w:val="Policepardfaut"/>
    <w:link w:val="Corpsdutexte150"/>
    <w:rsid w:val="005F6132"/>
    <w:rPr>
      <w:rFonts w:ascii="Times New Roman" w:eastAsia="Times New Roman" w:hAnsi="Times New Roman"/>
      <w:b/>
      <w:bCs/>
      <w:sz w:val="22"/>
      <w:szCs w:val="22"/>
      <w:shd w:val="clear" w:color="auto" w:fill="FFFFFF"/>
    </w:rPr>
  </w:style>
  <w:style w:type="character" w:customStyle="1" w:styleId="Tabledesmatires8ptGrasPetitesmajuscules">
    <w:name w:val="Table des matières + 8 pt;Gras;Petites majuscules"/>
    <w:basedOn w:val="TM4Car"/>
    <w:rsid w:val="005F6132"/>
    <w:rPr>
      <w:rFonts w:ascii="Times New Roman" w:eastAsia="Times New Roman" w:hAnsi="Times New Roman"/>
      <w:b/>
      <w:bCs/>
      <w:smallCaps/>
      <w:color w:val="000000"/>
      <w:spacing w:val="0"/>
      <w:w w:val="100"/>
      <w:position w:val="0"/>
      <w:sz w:val="16"/>
      <w:szCs w:val="16"/>
      <w:shd w:val="clear" w:color="auto" w:fill="FFFFFF"/>
      <w:lang w:val="fr-FR" w:eastAsia="fr-FR" w:bidi="fr-FR"/>
    </w:rPr>
  </w:style>
  <w:style w:type="character" w:customStyle="1" w:styleId="Tabledesmatires3">
    <w:name w:val="Table des matières (3)_"/>
    <w:basedOn w:val="Policepardfaut"/>
    <w:link w:val="Tabledesmatires30"/>
    <w:rsid w:val="005F6132"/>
    <w:rPr>
      <w:rFonts w:ascii="Times New Roman" w:eastAsia="Times New Roman" w:hAnsi="Times New Roman"/>
      <w:b/>
      <w:bCs/>
      <w:sz w:val="16"/>
      <w:szCs w:val="16"/>
      <w:shd w:val="clear" w:color="auto" w:fill="FFFFFF"/>
    </w:rPr>
  </w:style>
  <w:style w:type="character" w:customStyle="1" w:styleId="Tabledesmatires311ptNonGras">
    <w:name w:val="Table des matières (3) + 11 pt;Non Gras"/>
    <w:basedOn w:val="Tabledesmatires3"/>
    <w:rsid w:val="005F6132"/>
    <w:rPr>
      <w:rFonts w:ascii="Times New Roman" w:eastAsia="Times New Roman" w:hAnsi="Times New Roman"/>
      <w:b w:val="0"/>
      <w:bCs w:val="0"/>
      <w:color w:val="000000"/>
      <w:spacing w:val="0"/>
      <w:w w:val="100"/>
      <w:position w:val="0"/>
      <w:sz w:val="22"/>
      <w:szCs w:val="22"/>
      <w:shd w:val="clear" w:color="auto" w:fill="FFFFFF"/>
      <w:lang w:val="fr-FR" w:eastAsia="fr-FR" w:bidi="fr-FR"/>
    </w:rPr>
  </w:style>
  <w:style w:type="character" w:customStyle="1" w:styleId="Corpsdutexte16">
    <w:name w:val="Corps du texte (16)_"/>
    <w:basedOn w:val="Policepardfaut"/>
    <w:link w:val="Corpsdutexte160"/>
    <w:rsid w:val="005F6132"/>
    <w:rPr>
      <w:rFonts w:ascii="AppleGothic" w:eastAsia="AppleGothic" w:hAnsi="AppleGothic" w:cs="AppleGothic"/>
      <w:i/>
      <w:iCs/>
      <w:w w:val="200"/>
      <w:sz w:val="22"/>
      <w:szCs w:val="22"/>
      <w:shd w:val="clear" w:color="auto" w:fill="FFFFFF"/>
    </w:rPr>
  </w:style>
  <w:style w:type="character" w:customStyle="1" w:styleId="En-tte4">
    <w:name w:val="En-tête #4_"/>
    <w:basedOn w:val="Policepardfaut"/>
    <w:link w:val="En-tte40"/>
    <w:rsid w:val="005F6132"/>
    <w:rPr>
      <w:rFonts w:ascii="Times New Roman" w:eastAsia="Times New Roman" w:hAnsi="Times New Roman"/>
      <w:b/>
      <w:bCs/>
      <w:i/>
      <w:iCs/>
      <w:sz w:val="40"/>
      <w:szCs w:val="40"/>
      <w:shd w:val="clear" w:color="auto" w:fill="FFFFFF"/>
    </w:rPr>
  </w:style>
  <w:style w:type="character" w:customStyle="1" w:styleId="Corpsdutexte7">
    <w:name w:val="Corps du texte (7)_"/>
    <w:basedOn w:val="Policepardfaut"/>
    <w:link w:val="Corpsdutexte70"/>
    <w:rsid w:val="005F6132"/>
    <w:rPr>
      <w:rFonts w:ascii="Times New Roman" w:eastAsia="Times New Roman" w:hAnsi="Times New Roman"/>
      <w:shd w:val="clear" w:color="auto" w:fill="FFFFFF"/>
    </w:rPr>
  </w:style>
  <w:style w:type="character" w:customStyle="1" w:styleId="Corpsdutexte17">
    <w:name w:val="Corps du texte (17)_"/>
    <w:basedOn w:val="Policepardfaut"/>
    <w:link w:val="Corpsdutexte170"/>
    <w:rsid w:val="005F6132"/>
    <w:rPr>
      <w:rFonts w:ascii="Times New Roman" w:eastAsia="Times New Roman" w:hAnsi="Times New Roman"/>
      <w:i/>
      <w:iCs/>
      <w:spacing w:val="-50"/>
      <w:sz w:val="42"/>
      <w:szCs w:val="42"/>
      <w:shd w:val="clear" w:color="auto" w:fill="FFFFFF"/>
    </w:rPr>
  </w:style>
  <w:style w:type="character" w:customStyle="1" w:styleId="Corpsdutexte2Italique">
    <w:name w:val="Corps du texte (2) + Italique"/>
    <w:basedOn w:val="Corpsdutexte2"/>
    <w:rsid w:val="005F6132"/>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En-tteoupieddepage0">
    <w:name w:val="En-tête ou pied de page"/>
    <w:basedOn w:val="En-tteoupieddepage"/>
    <w:rsid w:val="005F6132"/>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fr-FR" w:eastAsia="fr-FR" w:bidi="fr-FR"/>
    </w:rPr>
  </w:style>
  <w:style w:type="character" w:customStyle="1" w:styleId="En-tteoupieddepage8ptEspacement0pt">
    <w:name w:val="En-tête ou pied de page + 8 pt;Espacement 0 pt"/>
    <w:basedOn w:val="En-tteoupieddepage"/>
    <w:rsid w:val="005F6132"/>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Corpsdutexte18Exact">
    <w:name w:val="Corps du texte (18) Exact"/>
    <w:basedOn w:val="Policepardfaut"/>
    <w:link w:val="Corpsdutexte18"/>
    <w:rsid w:val="005F6132"/>
    <w:rPr>
      <w:rFonts w:ascii="AppleGothic" w:eastAsia="AppleGothic" w:hAnsi="AppleGothic" w:cs="AppleGothic"/>
      <w:i/>
      <w:iCs/>
      <w:sz w:val="42"/>
      <w:szCs w:val="42"/>
      <w:shd w:val="clear" w:color="auto" w:fill="FFFFFF"/>
    </w:rPr>
  </w:style>
  <w:style w:type="character" w:customStyle="1" w:styleId="Corpsdutexte19">
    <w:name w:val="Corps du texte (19)_"/>
    <w:basedOn w:val="Policepardfaut"/>
    <w:link w:val="Corpsdutexte190"/>
    <w:rsid w:val="005F6132"/>
    <w:rPr>
      <w:rFonts w:ascii="Times New Roman" w:eastAsia="Times New Roman" w:hAnsi="Times New Roman"/>
      <w:b/>
      <w:bCs/>
      <w:i/>
      <w:iCs/>
      <w:spacing w:val="-50"/>
      <w:sz w:val="28"/>
      <w:szCs w:val="28"/>
      <w:shd w:val="clear" w:color="auto" w:fill="FFFFFF"/>
    </w:rPr>
  </w:style>
  <w:style w:type="character" w:customStyle="1" w:styleId="En-tte5">
    <w:name w:val="En-tête #5_"/>
    <w:basedOn w:val="Policepardfaut"/>
    <w:link w:val="En-tte50"/>
    <w:rsid w:val="005F6132"/>
    <w:rPr>
      <w:rFonts w:ascii="Times New Roman" w:eastAsia="Times New Roman" w:hAnsi="Times New Roman"/>
      <w:b/>
      <w:bCs/>
      <w:i/>
      <w:iCs/>
      <w:sz w:val="28"/>
      <w:szCs w:val="28"/>
      <w:shd w:val="clear" w:color="auto" w:fill="FFFFFF"/>
    </w:rPr>
  </w:style>
  <w:style w:type="character" w:customStyle="1" w:styleId="Corpsdutexte210pt">
    <w:name w:val="Corps du texte (2) + 10 pt"/>
    <w:basedOn w:val="Corpsdutexte2"/>
    <w:rsid w:val="005F6132"/>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200">
    <w:name w:val="Corps du texte (20)_"/>
    <w:basedOn w:val="Policepardfaut"/>
    <w:link w:val="Corpsdutexte201"/>
    <w:rsid w:val="005F6132"/>
    <w:rPr>
      <w:rFonts w:ascii="Times New Roman" w:eastAsia="Times New Roman" w:hAnsi="Times New Roman"/>
      <w:spacing w:val="20"/>
      <w:sz w:val="34"/>
      <w:szCs w:val="34"/>
      <w:shd w:val="clear" w:color="auto" w:fill="FFFFFF"/>
    </w:rPr>
  </w:style>
  <w:style w:type="character" w:customStyle="1" w:styleId="En-tte3">
    <w:name w:val="En-tête #3_"/>
    <w:basedOn w:val="Policepardfaut"/>
    <w:link w:val="En-tte30"/>
    <w:rsid w:val="005F6132"/>
    <w:rPr>
      <w:rFonts w:ascii="AppleGothic" w:eastAsia="AppleGothic" w:hAnsi="AppleGothic" w:cs="AppleGothic"/>
      <w:sz w:val="36"/>
      <w:szCs w:val="36"/>
      <w:shd w:val="clear" w:color="auto" w:fill="FFFFFF"/>
    </w:rPr>
  </w:style>
  <w:style w:type="character" w:customStyle="1" w:styleId="En-tte3TimesNewRoman45pt">
    <w:name w:val="En-tête #3 + Times New Roman;4.5 pt"/>
    <w:basedOn w:val="En-tte3"/>
    <w:rsid w:val="005F6132"/>
    <w:rPr>
      <w:rFonts w:ascii="Times New Roman" w:eastAsia="Times New Roman" w:hAnsi="Times New Roman" w:cs="Times New Roman"/>
      <w:color w:val="000000"/>
      <w:spacing w:val="0"/>
      <w:w w:val="100"/>
      <w:position w:val="0"/>
      <w:sz w:val="9"/>
      <w:szCs w:val="9"/>
      <w:shd w:val="clear" w:color="auto" w:fill="FFFFFF"/>
      <w:lang w:val="fr-FR" w:eastAsia="fr-FR" w:bidi="fr-FR"/>
    </w:rPr>
  </w:style>
  <w:style w:type="character" w:customStyle="1" w:styleId="Corpsdutexte13105ptNonItaliqueEspacement0pt">
    <w:name w:val="Corps du texte (13) + 10.5 pt;Non Italique;Espacement 0 pt"/>
    <w:basedOn w:val="Corpsdutexte13"/>
    <w:rsid w:val="005F613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style>
  <w:style w:type="character" w:customStyle="1" w:styleId="Corpsdutexte130">
    <w:name w:val="Corps du texte (13)"/>
    <w:basedOn w:val="Corpsdutexte13"/>
    <w:rsid w:val="005F6132"/>
    <w:rPr>
      <w:rFonts w:ascii="Times New Roman" w:eastAsia="Times New Roman" w:hAnsi="Times New Roman" w:cs="Times New Roman"/>
      <w:b w:val="0"/>
      <w:bCs w:val="0"/>
      <w:i w:val="0"/>
      <w:iCs w:val="0"/>
      <w:smallCaps w:val="0"/>
      <w:strike w:val="0"/>
      <w:color w:val="000000"/>
      <w:spacing w:val="10"/>
      <w:w w:val="100"/>
      <w:position w:val="0"/>
      <w:sz w:val="16"/>
      <w:szCs w:val="16"/>
      <w:u w:val="single"/>
      <w:lang w:val="fr-FR" w:eastAsia="fr-FR" w:bidi="fr-FR"/>
    </w:rPr>
  </w:style>
  <w:style w:type="character" w:customStyle="1" w:styleId="En-tteoupieddepage8ptGrasNonItaliqueEspacement0pt">
    <w:name w:val="En-tête ou pied de page + 8 pt;Gras;Non Italique;Espacement 0 pt"/>
    <w:basedOn w:val="En-tteoupieddepage"/>
    <w:rsid w:val="005F6132"/>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style>
  <w:style w:type="character" w:customStyle="1" w:styleId="Corpsdutexte13Exact">
    <w:name w:val="Corps du texte (13) Exact"/>
    <w:basedOn w:val="Policepardfaut"/>
    <w:rsid w:val="005F6132"/>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2AppleGothic105pt">
    <w:name w:val="Corps du texte (2) + AppleGothic;10.5 pt"/>
    <w:basedOn w:val="Corpsdutexte2"/>
    <w:rsid w:val="005F6132"/>
    <w:rPr>
      <w:rFonts w:ascii="AppleGothic" w:eastAsia="AppleGothic" w:hAnsi="AppleGothic" w:cs="AppleGothic"/>
      <w:b w:val="0"/>
      <w:bCs w:val="0"/>
      <w:i w:val="0"/>
      <w:iCs w:val="0"/>
      <w:smallCaps w:val="0"/>
      <w:strike w:val="0"/>
      <w:color w:val="000000"/>
      <w:spacing w:val="0"/>
      <w:w w:val="100"/>
      <w:position w:val="0"/>
      <w:sz w:val="21"/>
      <w:szCs w:val="21"/>
      <w:u w:val="none"/>
      <w:shd w:val="clear" w:color="auto" w:fill="FFFFFF"/>
      <w:lang w:val="fr-FR" w:eastAsia="fr-FR" w:bidi="fr-FR"/>
    </w:rPr>
  </w:style>
  <w:style w:type="character" w:customStyle="1" w:styleId="Corpsdutexte13AppleGothic95ptNonItaliqueEspacement0pt">
    <w:name w:val="Corps du texte (13) + AppleGothic;9.5 pt;Non Italique;Espacement 0 pt"/>
    <w:basedOn w:val="Corpsdutexte13"/>
    <w:rsid w:val="005F6132"/>
    <w:rPr>
      <w:rFonts w:ascii="AppleGothic" w:eastAsia="AppleGothic" w:hAnsi="AppleGothic" w:cs="AppleGothic"/>
      <w:b w:val="0"/>
      <w:bCs w:val="0"/>
      <w:i w:val="0"/>
      <w:iCs w:val="0"/>
      <w:smallCaps w:val="0"/>
      <w:strike w:val="0"/>
      <w:color w:val="000000"/>
      <w:spacing w:val="0"/>
      <w:w w:val="100"/>
      <w:position w:val="0"/>
      <w:sz w:val="19"/>
      <w:szCs w:val="19"/>
      <w:u w:val="none"/>
      <w:lang w:val="fr-FR" w:eastAsia="fr-FR" w:bidi="fr-FR"/>
    </w:rPr>
  </w:style>
  <w:style w:type="character" w:customStyle="1" w:styleId="Corpsdutexte23">
    <w:name w:val="Corps du texte (23)_"/>
    <w:basedOn w:val="Policepardfaut"/>
    <w:link w:val="Corpsdutexte230"/>
    <w:rsid w:val="005F6132"/>
    <w:rPr>
      <w:rFonts w:ascii="Times New Roman" w:eastAsia="Times New Roman" w:hAnsi="Times New Roman"/>
      <w:b/>
      <w:bCs/>
      <w:i/>
      <w:iCs/>
      <w:sz w:val="21"/>
      <w:szCs w:val="21"/>
      <w:shd w:val="clear" w:color="auto" w:fill="FFFFFF"/>
    </w:rPr>
  </w:style>
  <w:style w:type="character" w:customStyle="1" w:styleId="Corpsdutexte14Espacement0ptExact">
    <w:name w:val="Corps du texte (14) + Espacement 0 pt Exact"/>
    <w:basedOn w:val="Corpsdutexte14Exact"/>
    <w:rsid w:val="005F6132"/>
    <w:rPr>
      <w:rFonts w:ascii="AppleGothic" w:eastAsia="AppleGothic" w:hAnsi="AppleGothic" w:cs="AppleGothic"/>
      <w:i w:val="0"/>
      <w:iCs w:val="0"/>
      <w:color w:val="000000"/>
      <w:spacing w:val="-10"/>
      <w:w w:val="100"/>
      <w:position w:val="0"/>
      <w:sz w:val="14"/>
      <w:szCs w:val="14"/>
      <w:shd w:val="clear" w:color="auto" w:fill="FFFFFF"/>
      <w:lang w:val="fr-FR" w:eastAsia="fr-FR" w:bidi="fr-FR"/>
    </w:rPr>
  </w:style>
  <w:style w:type="character" w:customStyle="1" w:styleId="Corpsdutexte24">
    <w:name w:val="Corps du texte (24)_"/>
    <w:basedOn w:val="Policepardfaut"/>
    <w:link w:val="Corpsdutexte240"/>
    <w:rsid w:val="005F6132"/>
    <w:rPr>
      <w:rFonts w:ascii="Times New Roman" w:eastAsia="Times New Roman" w:hAnsi="Times New Roman"/>
      <w:b/>
      <w:bCs/>
      <w:i/>
      <w:iCs/>
      <w:sz w:val="16"/>
      <w:szCs w:val="16"/>
      <w:shd w:val="clear" w:color="auto" w:fill="FFFFFF"/>
    </w:rPr>
  </w:style>
  <w:style w:type="character" w:customStyle="1" w:styleId="Corpsdutexte108ptGrasItalique">
    <w:name w:val="Corps du texte (10) + 8 pt;Gras;Italique"/>
    <w:basedOn w:val="Corpsdutexte10"/>
    <w:rsid w:val="005F6132"/>
    <w:rPr>
      <w:rFonts w:ascii="Times New Roman" w:eastAsia="Times New Roman" w:hAnsi="Times New Roman"/>
      <w:b/>
      <w:bCs/>
      <w:i/>
      <w:iCs/>
      <w:color w:val="000000"/>
      <w:spacing w:val="0"/>
      <w:w w:val="100"/>
      <w:position w:val="0"/>
      <w:sz w:val="16"/>
      <w:szCs w:val="16"/>
      <w:shd w:val="clear" w:color="auto" w:fill="FFFFFF"/>
      <w:lang w:val="fr-FR" w:eastAsia="fr-FR" w:bidi="fr-FR"/>
    </w:rPr>
  </w:style>
  <w:style w:type="character" w:customStyle="1" w:styleId="Corpsdutexte11">
    <w:name w:val="Corps du texte (11)_"/>
    <w:basedOn w:val="Policepardfaut"/>
    <w:link w:val="Corpsdutexte110"/>
    <w:rsid w:val="005F6132"/>
    <w:rPr>
      <w:rFonts w:ascii="Times New Roman" w:eastAsia="Times New Roman" w:hAnsi="Times New Roman"/>
      <w:i/>
      <w:iCs/>
      <w:sz w:val="22"/>
      <w:szCs w:val="22"/>
      <w:shd w:val="clear" w:color="auto" w:fill="FFFFFF"/>
    </w:rPr>
  </w:style>
  <w:style w:type="character" w:customStyle="1" w:styleId="Corpsdutexte2495ptNonGrasNonItalique">
    <w:name w:val="Corps du texte (24) + 9.5 pt;Non Gras;Non Italique"/>
    <w:basedOn w:val="Corpsdutexte24"/>
    <w:rsid w:val="005F6132"/>
    <w:rPr>
      <w:rFonts w:ascii="Times New Roman" w:eastAsia="Times New Roman" w:hAnsi="Times New Roman"/>
      <w:b w:val="0"/>
      <w:bCs w:val="0"/>
      <w:i w:val="0"/>
      <w:iCs w:val="0"/>
      <w:color w:val="000000"/>
      <w:spacing w:val="0"/>
      <w:w w:val="100"/>
      <w:position w:val="0"/>
      <w:sz w:val="19"/>
      <w:szCs w:val="19"/>
      <w:shd w:val="clear" w:color="auto" w:fill="FFFFFF"/>
      <w:lang w:val="fr-FR" w:eastAsia="fr-FR" w:bidi="fr-FR"/>
    </w:rPr>
  </w:style>
  <w:style w:type="character" w:customStyle="1" w:styleId="Corpsdutexte25">
    <w:name w:val="Corps du texte (25)_"/>
    <w:basedOn w:val="Policepardfaut"/>
    <w:link w:val="Corpsdutexte250"/>
    <w:rsid w:val="005F6132"/>
    <w:rPr>
      <w:rFonts w:ascii="Times New Roman" w:eastAsia="Times New Roman" w:hAnsi="Times New Roman"/>
      <w:sz w:val="34"/>
      <w:szCs w:val="34"/>
      <w:shd w:val="clear" w:color="auto" w:fill="FFFFFF"/>
    </w:rPr>
  </w:style>
  <w:style w:type="character" w:customStyle="1" w:styleId="Corpsdutexte254pt">
    <w:name w:val="Corps du texte (25) + 4 pt"/>
    <w:basedOn w:val="Corpsdutexte25"/>
    <w:rsid w:val="005F6132"/>
    <w:rPr>
      <w:rFonts w:ascii="Times New Roman" w:eastAsia="Times New Roman" w:hAnsi="Times New Roman"/>
      <w:color w:val="000000"/>
      <w:spacing w:val="0"/>
      <w:w w:val="100"/>
      <w:position w:val="0"/>
      <w:sz w:val="8"/>
      <w:szCs w:val="8"/>
      <w:shd w:val="clear" w:color="auto" w:fill="FFFFFF"/>
      <w:lang w:val="fr-FR" w:eastAsia="fr-FR" w:bidi="fr-FR"/>
    </w:rPr>
  </w:style>
  <w:style w:type="character" w:customStyle="1" w:styleId="Corpsdutexte26">
    <w:name w:val="Corps du texte (26)_"/>
    <w:basedOn w:val="Policepardfaut"/>
    <w:link w:val="Corpsdutexte260"/>
    <w:rsid w:val="005F6132"/>
    <w:rPr>
      <w:rFonts w:ascii="Times New Roman" w:eastAsia="Times New Roman" w:hAnsi="Times New Roman"/>
      <w:b/>
      <w:bCs/>
      <w:i/>
      <w:iCs/>
      <w:sz w:val="17"/>
      <w:szCs w:val="17"/>
      <w:shd w:val="clear" w:color="auto" w:fill="FFFFFF"/>
    </w:rPr>
  </w:style>
  <w:style w:type="character" w:customStyle="1" w:styleId="Corpsdutexte2GrasItaliqueEspacement0pt">
    <w:name w:val="Corps du texte (2) + Gras;Italique;Espacement 0 pt"/>
    <w:basedOn w:val="Corpsdutexte2"/>
    <w:rsid w:val="005F6132"/>
    <w:rPr>
      <w:rFonts w:ascii="Times New Roman" w:eastAsia="Times New Roman" w:hAnsi="Times New Roman" w:cs="Times New Roman"/>
      <w:b/>
      <w:bCs/>
      <w:i/>
      <w:iCs/>
      <w:smallCaps w:val="0"/>
      <w:strike w:val="0"/>
      <w:color w:val="000000"/>
      <w:spacing w:val="-10"/>
      <w:w w:val="100"/>
      <w:position w:val="0"/>
      <w:sz w:val="22"/>
      <w:szCs w:val="22"/>
      <w:u w:val="none"/>
      <w:shd w:val="clear" w:color="auto" w:fill="FFFFFF"/>
      <w:lang w:val="fr-FR" w:eastAsia="fr-FR" w:bidi="fr-FR"/>
    </w:rPr>
  </w:style>
  <w:style w:type="character" w:customStyle="1" w:styleId="En-tte3TimesNewRoman20ptGrasItalique">
    <w:name w:val="En-tête #3 + Times New Roman;20 pt;Gras;Italique"/>
    <w:basedOn w:val="En-tte3"/>
    <w:rsid w:val="005F6132"/>
    <w:rPr>
      <w:rFonts w:ascii="Times New Roman" w:eastAsia="Times New Roman" w:hAnsi="Times New Roman" w:cs="Times New Roman"/>
      <w:b/>
      <w:bCs/>
      <w:i/>
      <w:iCs/>
      <w:color w:val="000000"/>
      <w:spacing w:val="0"/>
      <w:w w:val="100"/>
      <w:position w:val="0"/>
      <w:sz w:val="40"/>
      <w:szCs w:val="40"/>
      <w:shd w:val="clear" w:color="auto" w:fill="FFFFFF"/>
      <w:lang w:val="fr-FR" w:eastAsia="fr-FR" w:bidi="fr-FR"/>
    </w:rPr>
  </w:style>
  <w:style w:type="character" w:customStyle="1" w:styleId="En-tte414pt">
    <w:name w:val="En-tête #4 + 14 pt"/>
    <w:basedOn w:val="En-tte4"/>
    <w:rsid w:val="005F6132"/>
    <w:rPr>
      <w:rFonts w:ascii="Times New Roman" w:eastAsia="Times New Roman" w:hAnsi="Times New Roman"/>
      <w:b w:val="0"/>
      <w:bCs w:val="0"/>
      <w:i w:val="0"/>
      <w:iCs w:val="0"/>
      <w:color w:val="000000"/>
      <w:spacing w:val="0"/>
      <w:w w:val="100"/>
      <w:position w:val="0"/>
      <w:sz w:val="28"/>
      <w:szCs w:val="28"/>
      <w:shd w:val="clear" w:color="auto" w:fill="FFFFFF"/>
      <w:lang w:val="fr-FR" w:eastAsia="fr-FR" w:bidi="fr-FR"/>
    </w:rPr>
  </w:style>
  <w:style w:type="character" w:customStyle="1" w:styleId="Corpsdutexte3">
    <w:name w:val="Corps du texte (3)_"/>
    <w:basedOn w:val="Policepardfaut"/>
    <w:link w:val="Corpsdutexte30"/>
    <w:rsid w:val="005F6132"/>
    <w:rPr>
      <w:rFonts w:ascii="AppleGothic" w:eastAsia="AppleGothic" w:hAnsi="AppleGothic" w:cs="AppleGothic"/>
      <w:spacing w:val="10"/>
      <w:sz w:val="19"/>
      <w:szCs w:val="19"/>
      <w:shd w:val="clear" w:color="auto" w:fill="FFFFFF"/>
    </w:rPr>
  </w:style>
  <w:style w:type="character" w:customStyle="1" w:styleId="Corpsdutexte3TimesNewRoman11ptEspacement0pt">
    <w:name w:val="Corps du texte (3) + Times New Roman;11 pt;Espacement 0 pt"/>
    <w:basedOn w:val="Corpsdutexte3"/>
    <w:rsid w:val="005F6132"/>
    <w:rPr>
      <w:rFonts w:ascii="Times New Roman" w:eastAsia="Times New Roman" w:hAnsi="Times New Roman" w:cs="Times New Roman"/>
      <w:color w:val="000000"/>
      <w:spacing w:val="0"/>
      <w:w w:val="100"/>
      <w:position w:val="0"/>
      <w:sz w:val="22"/>
      <w:szCs w:val="22"/>
      <w:shd w:val="clear" w:color="auto" w:fill="FFFFFF"/>
      <w:lang w:val="fr-FR" w:eastAsia="fr-FR" w:bidi="fr-FR"/>
    </w:rPr>
  </w:style>
  <w:style w:type="character" w:customStyle="1" w:styleId="Corpsdutexte3TimesNewRoman85ptGrasItaliqueEspacement0pt">
    <w:name w:val="Corps du texte (3) + Times New Roman;8.5 pt;Gras;Italique;Espacement 0 pt"/>
    <w:basedOn w:val="Corpsdutexte3"/>
    <w:rsid w:val="005F6132"/>
    <w:rPr>
      <w:rFonts w:ascii="Times New Roman" w:eastAsia="Times New Roman" w:hAnsi="Times New Roman" w:cs="Times New Roman"/>
      <w:b/>
      <w:bCs/>
      <w:i/>
      <w:iCs/>
      <w:color w:val="000000"/>
      <w:spacing w:val="0"/>
      <w:w w:val="100"/>
      <w:position w:val="0"/>
      <w:sz w:val="17"/>
      <w:szCs w:val="17"/>
      <w:shd w:val="clear" w:color="auto" w:fill="FFFFFF"/>
      <w:lang w:val="fr-FR" w:eastAsia="fr-FR" w:bidi="fr-FR"/>
    </w:rPr>
  </w:style>
  <w:style w:type="character" w:customStyle="1" w:styleId="Corpsdutexte285ptGrasItalique">
    <w:name w:val="Corps du texte (2) + 8.5 pt;Gras;Italique"/>
    <w:basedOn w:val="Corpsdutexte2"/>
    <w:rsid w:val="005F6132"/>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27Exact">
    <w:name w:val="Corps du texte (27) Exact"/>
    <w:basedOn w:val="Policepardfaut"/>
    <w:link w:val="Corpsdutexte27"/>
    <w:rsid w:val="005F6132"/>
    <w:rPr>
      <w:rFonts w:ascii="Times New Roman" w:eastAsia="Times New Roman" w:hAnsi="Times New Roman"/>
      <w:b/>
      <w:bCs/>
      <w:i/>
      <w:iCs/>
      <w:sz w:val="15"/>
      <w:szCs w:val="15"/>
      <w:shd w:val="clear" w:color="auto" w:fill="FFFFFF"/>
    </w:rPr>
  </w:style>
  <w:style w:type="paragraph" w:customStyle="1" w:styleId="Notedebasdepage1">
    <w:name w:val="Note de bas de page1"/>
    <w:basedOn w:val="Normal"/>
    <w:link w:val="Notedebasdepage0"/>
    <w:rsid w:val="005F6132"/>
    <w:pPr>
      <w:widowControl w:val="0"/>
      <w:shd w:val="clear" w:color="auto" w:fill="FFFFFF"/>
      <w:spacing w:line="202" w:lineRule="exact"/>
      <w:ind w:hanging="363"/>
      <w:jc w:val="both"/>
    </w:pPr>
    <w:rPr>
      <w:sz w:val="19"/>
      <w:szCs w:val="19"/>
      <w:lang w:val="fr-FR" w:eastAsia="fr-FR"/>
    </w:rPr>
  </w:style>
  <w:style w:type="paragraph" w:customStyle="1" w:styleId="Corpsdutexte80">
    <w:name w:val="Corps du texte (8)"/>
    <w:basedOn w:val="Normal"/>
    <w:link w:val="Corpsdutexte8"/>
    <w:rsid w:val="005F6132"/>
    <w:pPr>
      <w:widowControl w:val="0"/>
      <w:shd w:val="clear" w:color="auto" w:fill="FFFFFF"/>
      <w:spacing w:line="0" w:lineRule="atLeast"/>
      <w:jc w:val="center"/>
    </w:pPr>
    <w:rPr>
      <w:rFonts w:ascii="AppleGothic" w:eastAsia="AppleGothic" w:hAnsi="AppleGothic" w:cs="AppleGothic"/>
      <w:sz w:val="32"/>
      <w:szCs w:val="32"/>
      <w:lang w:val="fr-FR" w:eastAsia="fr-FR"/>
    </w:rPr>
  </w:style>
  <w:style w:type="paragraph" w:customStyle="1" w:styleId="En-tte20">
    <w:name w:val="En-tête #2"/>
    <w:basedOn w:val="Normal"/>
    <w:link w:val="En-tte2"/>
    <w:rsid w:val="005F6132"/>
    <w:pPr>
      <w:widowControl w:val="0"/>
      <w:shd w:val="clear" w:color="auto" w:fill="FFFFFF"/>
      <w:spacing w:line="0" w:lineRule="atLeast"/>
      <w:ind w:firstLine="58"/>
      <w:outlineLvl w:val="1"/>
    </w:pPr>
    <w:rPr>
      <w:b/>
      <w:bCs/>
      <w:w w:val="66"/>
      <w:sz w:val="90"/>
      <w:szCs w:val="90"/>
      <w:lang w:val="fr-FR" w:eastAsia="fr-FR"/>
    </w:rPr>
  </w:style>
  <w:style w:type="paragraph" w:customStyle="1" w:styleId="Corpsdutexte90">
    <w:name w:val="Corps du texte (9)"/>
    <w:basedOn w:val="Normal"/>
    <w:link w:val="Corpsdutexte9"/>
    <w:rsid w:val="005F6132"/>
    <w:pPr>
      <w:widowControl w:val="0"/>
      <w:shd w:val="clear" w:color="auto" w:fill="FFFFFF"/>
      <w:spacing w:before="180" w:line="254" w:lineRule="exact"/>
      <w:jc w:val="center"/>
    </w:pPr>
    <w:rPr>
      <w:b/>
      <w:bCs/>
      <w:sz w:val="22"/>
      <w:szCs w:val="22"/>
      <w:lang w:val="fr-FR" w:eastAsia="fr-FR"/>
    </w:rPr>
  </w:style>
  <w:style w:type="paragraph" w:customStyle="1" w:styleId="Corpsdutexte70">
    <w:name w:val="Corps du texte (7)"/>
    <w:basedOn w:val="Normal"/>
    <w:link w:val="Corpsdutexte7"/>
    <w:rsid w:val="005F6132"/>
    <w:pPr>
      <w:widowControl w:val="0"/>
      <w:shd w:val="clear" w:color="auto" w:fill="FFFFFF"/>
      <w:spacing w:line="0" w:lineRule="atLeast"/>
    </w:pPr>
    <w:rPr>
      <w:sz w:val="20"/>
      <w:lang w:val="fr-FR" w:eastAsia="fr-FR"/>
    </w:rPr>
  </w:style>
  <w:style w:type="paragraph" w:customStyle="1" w:styleId="Corpsdutexte110">
    <w:name w:val="Corps du texte (11)"/>
    <w:basedOn w:val="Normal"/>
    <w:link w:val="Corpsdutexte11"/>
    <w:rsid w:val="005F6132"/>
    <w:pPr>
      <w:widowControl w:val="0"/>
      <w:shd w:val="clear" w:color="auto" w:fill="FFFFFF"/>
      <w:spacing w:line="240" w:lineRule="exact"/>
      <w:ind w:firstLine="34"/>
      <w:jc w:val="both"/>
    </w:pPr>
    <w:rPr>
      <w:i/>
      <w:iCs/>
      <w:sz w:val="22"/>
      <w:szCs w:val="22"/>
      <w:lang w:val="fr-FR" w:eastAsia="fr-FR"/>
    </w:rPr>
  </w:style>
  <w:style w:type="paragraph" w:customStyle="1" w:styleId="Corpsdutexte100">
    <w:name w:val="Corps du texte (10)"/>
    <w:basedOn w:val="Normal"/>
    <w:link w:val="Corpsdutexte10"/>
    <w:rsid w:val="005F6132"/>
    <w:pPr>
      <w:widowControl w:val="0"/>
      <w:shd w:val="clear" w:color="auto" w:fill="FFFFFF"/>
      <w:spacing w:after="60" w:line="0" w:lineRule="atLeast"/>
      <w:ind w:firstLine="34"/>
      <w:jc w:val="both"/>
    </w:pPr>
    <w:rPr>
      <w:sz w:val="19"/>
      <w:szCs w:val="19"/>
      <w:lang w:val="fr-FR" w:eastAsia="fr-FR"/>
    </w:rPr>
  </w:style>
  <w:style w:type="paragraph" w:styleId="TM4">
    <w:name w:val="toc 4"/>
    <w:basedOn w:val="Normal"/>
    <w:link w:val="TM4Car"/>
    <w:autoRedefine/>
    <w:rsid w:val="005F6132"/>
    <w:pPr>
      <w:widowControl w:val="0"/>
      <w:shd w:val="clear" w:color="auto" w:fill="FFFFFF"/>
      <w:spacing w:before="1260" w:after="60" w:line="0" w:lineRule="atLeast"/>
      <w:ind w:hanging="6"/>
      <w:jc w:val="both"/>
    </w:pPr>
    <w:rPr>
      <w:sz w:val="22"/>
      <w:szCs w:val="22"/>
      <w:lang w:val="fr-FR" w:eastAsia="fr-FR"/>
    </w:rPr>
  </w:style>
  <w:style w:type="paragraph" w:customStyle="1" w:styleId="Corpsdutexte120">
    <w:name w:val="Corps du texte (12)"/>
    <w:basedOn w:val="Normal"/>
    <w:link w:val="Corpsdutexte12"/>
    <w:rsid w:val="005F6132"/>
    <w:pPr>
      <w:widowControl w:val="0"/>
      <w:shd w:val="clear" w:color="auto" w:fill="FFFFFF"/>
      <w:spacing w:line="240" w:lineRule="exact"/>
      <w:ind w:hanging="6"/>
      <w:jc w:val="both"/>
    </w:pPr>
    <w:rPr>
      <w:b/>
      <w:bCs/>
      <w:sz w:val="16"/>
      <w:szCs w:val="16"/>
      <w:lang w:val="fr-FR" w:eastAsia="fr-FR"/>
    </w:rPr>
  </w:style>
  <w:style w:type="paragraph" w:customStyle="1" w:styleId="Corpsdutexte14">
    <w:name w:val="Corps du texte (14)"/>
    <w:basedOn w:val="Normal"/>
    <w:link w:val="Corpsdutexte14Exact"/>
    <w:rsid w:val="005F6132"/>
    <w:pPr>
      <w:widowControl w:val="0"/>
      <w:shd w:val="clear" w:color="auto" w:fill="FFFFFF"/>
      <w:spacing w:line="0" w:lineRule="atLeast"/>
      <w:ind w:firstLine="29"/>
    </w:pPr>
    <w:rPr>
      <w:rFonts w:ascii="AppleGothic" w:eastAsia="AppleGothic" w:hAnsi="AppleGothic" w:cs="AppleGothic"/>
      <w:i/>
      <w:iCs/>
      <w:sz w:val="14"/>
      <w:szCs w:val="14"/>
      <w:lang w:val="fr-FR" w:eastAsia="fr-FR"/>
    </w:rPr>
  </w:style>
  <w:style w:type="paragraph" w:customStyle="1" w:styleId="Corpsdutexte150">
    <w:name w:val="Corps du texte (15)"/>
    <w:basedOn w:val="Normal"/>
    <w:link w:val="Corpsdutexte15"/>
    <w:rsid w:val="005F6132"/>
    <w:pPr>
      <w:widowControl w:val="0"/>
      <w:shd w:val="clear" w:color="auto" w:fill="FFFFFF"/>
      <w:spacing w:after="60" w:line="0" w:lineRule="atLeast"/>
      <w:ind w:firstLine="25"/>
      <w:jc w:val="both"/>
    </w:pPr>
    <w:rPr>
      <w:b/>
      <w:bCs/>
      <w:sz w:val="22"/>
      <w:szCs w:val="22"/>
      <w:lang w:val="fr-FR" w:eastAsia="fr-FR"/>
    </w:rPr>
  </w:style>
  <w:style w:type="paragraph" w:customStyle="1" w:styleId="Tabledesmatires30">
    <w:name w:val="Table des matières (3)"/>
    <w:basedOn w:val="Normal"/>
    <w:link w:val="Tabledesmatires3"/>
    <w:rsid w:val="005F6132"/>
    <w:pPr>
      <w:widowControl w:val="0"/>
      <w:shd w:val="clear" w:color="auto" w:fill="FFFFFF"/>
      <w:spacing w:after="60" w:line="240" w:lineRule="exact"/>
      <w:ind w:hanging="6"/>
      <w:jc w:val="both"/>
    </w:pPr>
    <w:rPr>
      <w:b/>
      <w:bCs/>
      <w:sz w:val="16"/>
      <w:szCs w:val="16"/>
      <w:lang w:val="fr-FR" w:eastAsia="fr-FR"/>
    </w:rPr>
  </w:style>
  <w:style w:type="paragraph" w:customStyle="1" w:styleId="Corpsdutexte160">
    <w:name w:val="Corps du texte (16)"/>
    <w:basedOn w:val="Normal"/>
    <w:link w:val="Corpsdutexte16"/>
    <w:rsid w:val="005F6132"/>
    <w:pPr>
      <w:widowControl w:val="0"/>
      <w:shd w:val="clear" w:color="auto" w:fill="FFFFFF"/>
      <w:spacing w:after="3240" w:line="0" w:lineRule="atLeast"/>
      <w:jc w:val="right"/>
    </w:pPr>
    <w:rPr>
      <w:rFonts w:ascii="AppleGothic" w:eastAsia="AppleGothic" w:hAnsi="AppleGothic" w:cs="AppleGothic"/>
      <w:i/>
      <w:iCs/>
      <w:w w:val="200"/>
      <w:sz w:val="22"/>
      <w:szCs w:val="22"/>
      <w:lang w:val="fr-FR" w:eastAsia="fr-FR"/>
    </w:rPr>
  </w:style>
  <w:style w:type="paragraph" w:customStyle="1" w:styleId="En-tte40">
    <w:name w:val="En-tête #4"/>
    <w:basedOn w:val="Normal"/>
    <w:link w:val="En-tte4"/>
    <w:rsid w:val="005F6132"/>
    <w:pPr>
      <w:widowControl w:val="0"/>
      <w:shd w:val="clear" w:color="auto" w:fill="FFFFFF"/>
      <w:spacing w:before="3240" w:after="660" w:line="0" w:lineRule="atLeast"/>
      <w:jc w:val="right"/>
      <w:outlineLvl w:val="3"/>
    </w:pPr>
    <w:rPr>
      <w:b/>
      <w:bCs/>
      <w:i/>
      <w:iCs/>
      <w:sz w:val="40"/>
      <w:szCs w:val="40"/>
      <w:lang w:val="fr-FR" w:eastAsia="fr-FR"/>
    </w:rPr>
  </w:style>
  <w:style w:type="paragraph" w:customStyle="1" w:styleId="Corpsdutexte170">
    <w:name w:val="Corps du texte (17)"/>
    <w:basedOn w:val="Normal"/>
    <w:link w:val="Corpsdutexte17"/>
    <w:rsid w:val="005F6132"/>
    <w:pPr>
      <w:widowControl w:val="0"/>
      <w:shd w:val="clear" w:color="auto" w:fill="FFFFFF"/>
      <w:spacing w:before="360" w:line="0" w:lineRule="atLeast"/>
      <w:ind w:hanging="1"/>
    </w:pPr>
    <w:rPr>
      <w:i/>
      <w:iCs/>
      <w:spacing w:val="-50"/>
      <w:sz w:val="42"/>
      <w:szCs w:val="42"/>
      <w:lang w:val="fr-FR" w:eastAsia="fr-FR"/>
    </w:rPr>
  </w:style>
  <w:style w:type="paragraph" w:customStyle="1" w:styleId="Corpsdutexte18">
    <w:name w:val="Corps du texte (18)"/>
    <w:basedOn w:val="Normal"/>
    <w:link w:val="Corpsdutexte18Exact"/>
    <w:rsid w:val="005F6132"/>
    <w:pPr>
      <w:widowControl w:val="0"/>
      <w:shd w:val="clear" w:color="auto" w:fill="FFFFFF"/>
      <w:spacing w:line="0" w:lineRule="atLeast"/>
      <w:ind w:firstLine="29"/>
    </w:pPr>
    <w:rPr>
      <w:rFonts w:ascii="AppleGothic" w:eastAsia="AppleGothic" w:hAnsi="AppleGothic" w:cs="AppleGothic"/>
      <w:i/>
      <w:iCs/>
      <w:sz w:val="42"/>
      <w:szCs w:val="42"/>
      <w:lang w:val="fr-FR" w:eastAsia="fr-FR"/>
    </w:rPr>
  </w:style>
  <w:style w:type="paragraph" w:customStyle="1" w:styleId="Corpsdutexte190">
    <w:name w:val="Corps du texte (19)"/>
    <w:basedOn w:val="Normal"/>
    <w:link w:val="Corpsdutexte19"/>
    <w:rsid w:val="005F6132"/>
    <w:pPr>
      <w:widowControl w:val="0"/>
      <w:shd w:val="clear" w:color="auto" w:fill="FFFFFF"/>
      <w:spacing w:after="3360" w:line="0" w:lineRule="atLeast"/>
      <w:jc w:val="right"/>
    </w:pPr>
    <w:rPr>
      <w:b/>
      <w:bCs/>
      <w:i/>
      <w:iCs/>
      <w:spacing w:val="-50"/>
      <w:szCs w:val="28"/>
      <w:lang w:val="fr-FR" w:eastAsia="fr-FR"/>
    </w:rPr>
  </w:style>
  <w:style w:type="paragraph" w:customStyle="1" w:styleId="En-tte50">
    <w:name w:val="En-tête #5"/>
    <w:basedOn w:val="Normal"/>
    <w:link w:val="En-tte5"/>
    <w:rsid w:val="005F6132"/>
    <w:pPr>
      <w:widowControl w:val="0"/>
      <w:shd w:val="clear" w:color="auto" w:fill="FFFFFF"/>
      <w:spacing w:before="180" w:after="660" w:line="0" w:lineRule="atLeast"/>
      <w:jc w:val="right"/>
      <w:outlineLvl w:val="4"/>
    </w:pPr>
    <w:rPr>
      <w:b/>
      <w:bCs/>
      <w:i/>
      <w:iCs/>
      <w:szCs w:val="28"/>
      <w:lang w:val="fr-FR" w:eastAsia="fr-FR"/>
    </w:rPr>
  </w:style>
  <w:style w:type="paragraph" w:customStyle="1" w:styleId="Corpsdutexte201">
    <w:name w:val="Corps du texte (20)"/>
    <w:basedOn w:val="Normal"/>
    <w:link w:val="Corpsdutexte200"/>
    <w:rsid w:val="005F6132"/>
    <w:pPr>
      <w:widowControl w:val="0"/>
      <w:shd w:val="clear" w:color="auto" w:fill="FFFFFF"/>
      <w:spacing w:after="2100" w:line="0" w:lineRule="atLeast"/>
      <w:jc w:val="right"/>
    </w:pPr>
    <w:rPr>
      <w:spacing w:val="20"/>
      <w:sz w:val="34"/>
      <w:szCs w:val="34"/>
      <w:lang w:val="fr-FR" w:eastAsia="fr-FR"/>
    </w:rPr>
  </w:style>
  <w:style w:type="paragraph" w:customStyle="1" w:styleId="En-tte30">
    <w:name w:val="En-tête #3"/>
    <w:basedOn w:val="Normal"/>
    <w:link w:val="En-tte3"/>
    <w:rsid w:val="005F6132"/>
    <w:pPr>
      <w:widowControl w:val="0"/>
      <w:shd w:val="clear" w:color="auto" w:fill="FFFFFF"/>
      <w:spacing w:after="3180" w:line="0" w:lineRule="atLeast"/>
      <w:ind w:hanging="1"/>
      <w:outlineLvl w:val="2"/>
    </w:pPr>
    <w:rPr>
      <w:rFonts w:ascii="AppleGothic" w:eastAsia="AppleGothic" w:hAnsi="AppleGothic" w:cs="AppleGothic"/>
      <w:sz w:val="36"/>
      <w:szCs w:val="36"/>
      <w:lang w:val="fr-FR" w:eastAsia="fr-FR"/>
    </w:rPr>
  </w:style>
  <w:style w:type="paragraph" w:customStyle="1" w:styleId="Corpsdutexte230">
    <w:name w:val="Corps du texte (23)"/>
    <w:basedOn w:val="Normal"/>
    <w:link w:val="Corpsdutexte23"/>
    <w:rsid w:val="005F6132"/>
    <w:pPr>
      <w:widowControl w:val="0"/>
      <w:shd w:val="clear" w:color="auto" w:fill="FFFFFF"/>
      <w:spacing w:before="300" w:after="300" w:line="0" w:lineRule="atLeast"/>
      <w:ind w:firstLine="72"/>
      <w:jc w:val="both"/>
    </w:pPr>
    <w:rPr>
      <w:b/>
      <w:bCs/>
      <w:i/>
      <w:iCs/>
      <w:sz w:val="21"/>
      <w:szCs w:val="21"/>
      <w:lang w:val="fr-FR" w:eastAsia="fr-FR"/>
    </w:rPr>
  </w:style>
  <w:style w:type="paragraph" w:customStyle="1" w:styleId="Corpsdutexte240">
    <w:name w:val="Corps du texte (24)"/>
    <w:basedOn w:val="Normal"/>
    <w:link w:val="Corpsdutexte24"/>
    <w:rsid w:val="005F6132"/>
    <w:pPr>
      <w:widowControl w:val="0"/>
      <w:shd w:val="clear" w:color="auto" w:fill="FFFFFF"/>
      <w:spacing w:before="900" w:after="720" w:line="0" w:lineRule="atLeast"/>
      <w:ind w:firstLine="6"/>
    </w:pPr>
    <w:rPr>
      <w:b/>
      <w:bCs/>
      <w:i/>
      <w:iCs/>
      <w:sz w:val="16"/>
      <w:szCs w:val="16"/>
      <w:lang w:val="fr-FR" w:eastAsia="fr-FR"/>
    </w:rPr>
  </w:style>
  <w:style w:type="paragraph" w:customStyle="1" w:styleId="Corpsdutexte250">
    <w:name w:val="Corps du texte (25)"/>
    <w:basedOn w:val="Normal"/>
    <w:link w:val="Corpsdutexte25"/>
    <w:rsid w:val="005F6132"/>
    <w:pPr>
      <w:widowControl w:val="0"/>
      <w:shd w:val="clear" w:color="auto" w:fill="FFFFFF"/>
      <w:spacing w:after="3300" w:line="0" w:lineRule="atLeast"/>
      <w:jc w:val="right"/>
    </w:pPr>
    <w:rPr>
      <w:sz w:val="34"/>
      <w:szCs w:val="34"/>
      <w:lang w:val="fr-FR" w:eastAsia="fr-FR"/>
    </w:rPr>
  </w:style>
  <w:style w:type="paragraph" w:customStyle="1" w:styleId="Corpsdutexte260">
    <w:name w:val="Corps du texte (26)"/>
    <w:basedOn w:val="Normal"/>
    <w:link w:val="Corpsdutexte26"/>
    <w:rsid w:val="005F6132"/>
    <w:pPr>
      <w:widowControl w:val="0"/>
      <w:shd w:val="clear" w:color="auto" w:fill="FFFFFF"/>
      <w:spacing w:before="60" w:after="660" w:line="0" w:lineRule="atLeast"/>
      <w:jc w:val="right"/>
    </w:pPr>
    <w:rPr>
      <w:b/>
      <w:bCs/>
      <w:i/>
      <w:iCs/>
      <w:sz w:val="17"/>
      <w:szCs w:val="17"/>
      <w:lang w:val="fr-FR" w:eastAsia="fr-FR"/>
    </w:rPr>
  </w:style>
  <w:style w:type="paragraph" w:customStyle="1" w:styleId="Corpsdutexte30">
    <w:name w:val="Corps du texte (3)"/>
    <w:basedOn w:val="Normal"/>
    <w:link w:val="Corpsdutexte3"/>
    <w:rsid w:val="005F6132"/>
    <w:pPr>
      <w:widowControl w:val="0"/>
      <w:shd w:val="clear" w:color="auto" w:fill="FFFFFF"/>
      <w:spacing w:after="360" w:line="0" w:lineRule="atLeast"/>
      <w:jc w:val="center"/>
    </w:pPr>
    <w:rPr>
      <w:rFonts w:ascii="AppleGothic" w:eastAsia="AppleGothic" w:hAnsi="AppleGothic" w:cs="AppleGothic"/>
      <w:spacing w:val="10"/>
      <w:sz w:val="19"/>
      <w:szCs w:val="19"/>
      <w:lang w:val="fr-FR" w:eastAsia="fr-FR"/>
    </w:rPr>
  </w:style>
  <w:style w:type="paragraph" w:customStyle="1" w:styleId="Corpsdutexte27">
    <w:name w:val="Corps du texte (27)"/>
    <w:basedOn w:val="Normal"/>
    <w:link w:val="Corpsdutexte27Exact"/>
    <w:rsid w:val="005F6132"/>
    <w:pPr>
      <w:widowControl w:val="0"/>
      <w:shd w:val="clear" w:color="auto" w:fill="FFFFFF"/>
      <w:spacing w:line="0" w:lineRule="atLeast"/>
      <w:ind w:firstLine="29"/>
    </w:pPr>
    <w:rPr>
      <w:b/>
      <w:bCs/>
      <w:i/>
      <w:iCs/>
      <w:sz w:val="15"/>
      <w:szCs w:val="15"/>
      <w:lang w:val="fr-FR" w:eastAsia="fr-FR"/>
    </w:rPr>
  </w:style>
  <w:style w:type="paragraph" w:styleId="TM5">
    <w:name w:val="toc 5"/>
    <w:basedOn w:val="Normal"/>
    <w:autoRedefine/>
    <w:rsid w:val="005F6132"/>
    <w:pPr>
      <w:widowControl w:val="0"/>
      <w:shd w:val="clear" w:color="auto" w:fill="FFFFFF"/>
      <w:spacing w:before="1260" w:after="60" w:line="0" w:lineRule="atLeast"/>
      <w:ind w:hanging="6"/>
      <w:jc w:val="both"/>
    </w:pPr>
    <w:rPr>
      <w:sz w:val="22"/>
      <w:szCs w:val="22"/>
    </w:rPr>
  </w:style>
  <w:style w:type="character" w:customStyle="1" w:styleId="Grillecouleur-Accent1Car">
    <w:name w:val="Grille couleur - Accent 1 Car"/>
    <w:basedOn w:val="Policepardfaut"/>
    <w:link w:val="Grillecouleur-Accent11"/>
    <w:rsid w:val="00F8147D"/>
    <w:rPr>
      <w:rFonts w:ascii="Times New Roman" w:eastAsia="Times New Roman" w:hAnsi="Times New Roman"/>
      <w:color w:val="000080"/>
      <w:sz w:val="24"/>
      <w:lang w:val="fr-CA" w:eastAsia="en-US"/>
    </w:rPr>
  </w:style>
  <w:style w:type="character" w:customStyle="1" w:styleId="CorpsdetexteCar">
    <w:name w:val="Corps de texte Car"/>
    <w:basedOn w:val="Policepardfaut"/>
    <w:link w:val="Corpsdetexte"/>
    <w:rsid w:val="005F6132"/>
    <w:rPr>
      <w:rFonts w:ascii="Times New Roman" w:eastAsia="Times New Roman" w:hAnsi="Times New Roman"/>
      <w:sz w:val="72"/>
      <w:lang w:val="fr-CA" w:eastAsia="en-US"/>
    </w:rPr>
  </w:style>
  <w:style w:type="paragraph" w:styleId="Corpsdetexte2">
    <w:name w:val="Body Text 2"/>
    <w:basedOn w:val="Normal"/>
    <w:link w:val="Corpsdetexte2Car"/>
    <w:rsid w:val="005F6132"/>
    <w:pPr>
      <w:jc w:val="both"/>
    </w:pPr>
    <w:rPr>
      <w:rFonts w:ascii="Arial" w:hAnsi="Arial"/>
    </w:rPr>
  </w:style>
  <w:style w:type="character" w:customStyle="1" w:styleId="Corpsdetexte2Car">
    <w:name w:val="Corps de texte 2 Car"/>
    <w:basedOn w:val="Policepardfaut"/>
    <w:link w:val="Corpsdetexte2"/>
    <w:rsid w:val="005F6132"/>
    <w:rPr>
      <w:rFonts w:ascii="Arial" w:eastAsia="Times New Roman" w:hAnsi="Arial"/>
      <w:sz w:val="28"/>
      <w:lang w:val="fr-CA" w:eastAsia="en-US"/>
    </w:rPr>
  </w:style>
  <w:style w:type="paragraph" w:styleId="Corpsdetexte3">
    <w:name w:val="Body Text 3"/>
    <w:basedOn w:val="Normal"/>
    <w:link w:val="Corpsdetexte3Car"/>
    <w:rsid w:val="005F6132"/>
    <w:pPr>
      <w:tabs>
        <w:tab w:val="left" w:pos="510"/>
        <w:tab w:val="left" w:pos="510"/>
      </w:tabs>
      <w:jc w:val="both"/>
    </w:pPr>
    <w:rPr>
      <w:rFonts w:ascii="Arial" w:hAnsi="Arial"/>
      <w:sz w:val="20"/>
    </w:rPr>
  </w:style>
  <w:style w:type="character" w:customStyle="1" w:styleId="Corpsdetexte3Car">
    <w:name w:val="Corps de texte 3 Car"/>
    <w:basedOn w:val="Policepardfaut"/>
    <w:link w:val="Corpsdetexte3"/>
    <w:rsid w:val="005F6132"/>
    <w:rPr>
      <w:rFonts w:ascii="Arial" w:eastAsia="Times New Roman" w:hAnsi="Arial"/>
      <w:lang w:val="fr-CA" w:eastAsia="en-US"/>
    </w:rPr>
  </w:style>
  <w:style w:type="character" w:customStyle="1" w:styleId="En-tteCar">
    <w:name w:val="En-tête Car"/>
    <w:basedOn w:val="Policepardfaut"/>
    <w:link w:val="En-tte"/>
    <w:uiPriority w:val="99"/>
    <w:rsid w:val="005F6132"/>
    <w:rPr>
      <w:rFonts w:ascii="GillSans" w:eastAsia="Times New Roman" w:hAnsi="GillSans"/>
      <w:lang w:val="fr-CA" w:eastAsia="en-US"/>
    </w:rPr>
  </w:style>
  <w:style w:type="character" w:customStyle="1" w:styleId="NotedebasdepageCar">
    <w:name w:val="Note de bas de page Car"/>
    <w:basedOn w:val="Policepardfaut"/>
    <w:link w:val="Notedebasdepage"/>
    <w:rsid w:val="00805D2F"/>
    <w:rPr>
      <w:rFonts w:ascii="Times New Roman" w:eastAsia="Times New Roman" w:hAnsi="Times New Roman"/>
      <w:color w:val="000000"/>
      <w:sz w:val="24"/>
      <w:lang w:val="fr-CA" w:eastAsia="en-US"/>
    </w:rPr>
  </w:style>
  <w:style w:type="character" w:customStyle="1" w:styleId="NotedefinCar">
    <w:name w:val="Note de fin Car"/>
    <w:basedOn w:val="Policepardfaut"/>
    <w:link w:val="Notedefin"/>
    <w:rsid w:val="005F6132"/>
    <w:rPr>
      <w:rFonts w:ascii="Times New Roman" w:eastAsia="Times New Roman" w:hAnsi="Times New Roman"/>
      <w:lang w:eastAsia="en-US"/>
    </w:rPr>
  </w:style>
  <w:style w:type="character" w:customStyle="1" w:styleId="PieddepageCar">
    <w:name w:val="Pied de page Car"/>
    <w:basedOn w:val="Policepardfaut"/>
    <w:link w:val="Pieddepage"/>
    <w:uiPriority w:val="99"/>
    <w:rsid w:val="005F6132"/>
    <w:rPr>
      <w:rFonts w:ascii="GillSans" w:eastAsia="Times New Roman" w:hAnsi="GillSans"/>
      <w:lang w:val="fr-CA" w:eastAsia="en-US"/>
    </w:rPr>
  </w:style>
  <w:style w:type="character" w:customStyle="1" w:styleId="RetraitcorpsdetexteCar">
    <w:name w:val="Retrait corps de texte Car"/>
    <w:basedOn w:val="Policepardfaut"/>
    <w:link w:val="Retraitcorpsdetexte"/>
    <w:rsid w:val="005F6132"/>
    <w:rPr>
      <w:rFonts w:ascii="Arial" w:eastAsia="Times New Roman" w:hAnsi="Arial"/>
      <w:sz w:val="28"/>
      <w:lang w:val="fr-CA" w:eastAsia="en-US"/>
    </w:rPr>
  </w:style>
  <w:style w:type="character" w:customStyle="1" w:styleId="Retraitcorpsdetexte2Car">
    <w:name w:val="Retrait corps de texte 2 Car"/>
    <w:basedOn w:val="Policepardfaut"/>
    <w:link w:val="Retraitcorpsdetexte2"/>
    <w:rsid w:val="005F6132"/>
    <w:rPr>
      <w:rFonts w:ascii="Arial" w:eastAsia="Times New Roman" w:hAnsi="Arial"/>
      <w:sz w:val="28"/>
      <w:lang w:val="fr-CA" w:eastAsia="en-US"/>
    </w:rPr>
  </w:style>
  <w:style w:type="character" w:customStyle="1" w:styleId="Retraitcorpsdetexte3Car">
    <w:name w:val="Retrait corps de texte 3 Car"/>
    <w:basedOn w:val="Policepardfaut"/>
    <w:link w:val="Retraitcorpsdetexte3"/>
    <w:rsid w:val="005F6132"/>
    <w:rPr>
      <w:rFonts w:ascii="Arial" w:eastAsia="Times New Roman" w:hAnsi="Arial"/>
      <w:sz w:val="28"/>
      <w:lang w:val="fr-CA" w:eastAsia="en-US"/>
    </w:rPr>
  </w:style>
  <w:style w:type="character" w:customStyle="1" w:styleId="TitreCar">
    <w:name w:val="Titre Car"/>
    <w:basedOn w:val="Policepardfaut"/>
    <w:link w:val="Titre"/>
    <w:rsid w:val="005F6132"/>
    <w:rPr>
      <w:rFonts w:ascii="Times New Roman" w:eastAsia="Times New Roman" w:hAnsi="Times New Roman"/>
      <w:b/>
      <w:sz w:val="48"/>
      <w:lang w:val="fr-CA" w:eastAsia="en-US"/>
    </w:rPr>
  </w:style>
  <w:style w:type="character" w:customStyle="1" w:styleId="Titre1Car">
    <w:name w:val="Titre 1 Car"/>
    <w:basedOn w:val="Policepardfaut"/>
    <w:link w:val="Titre1"/>
    <w:rsid w:val="005F6132"/>
    <w:rPr>
      <w:rFonts w:eastAsia="Times New Roman"/>
      <w:noProof/>
      <w:lang w:val="fr-CA" w:eastAsia="en-US" w:bidi="ar-SA"/>
    </w:rPr>
  </w:style>
  <w:style w:type="character" w:customStyle="1" w:styleId="Titre2Car">
    <w:name w:val="Titre 2 Car"/>
    <w:basedOn w:val="Policepardfaut"/>
    <w:link w:val="Titre2"/>
    <w:rsid w:val="005F6132"/>
    <w:rPr>
      <w:rFonts w:eastAsia="Times New Roman"/>
      <w:noProof/>
      <w:lang w:val="fr-CA" w:eastAsia="en-US" w:bidi="ar-SA"/>
    </w:rPr>
  </w:style>
  <w:style w:type="character" w:customStyle="1" w:styleId="Titre3Car">
    <w:name w:val="Titre 3 Car"/>
    <w:basedOn w:val="Policepardfaut"/>
    <w:link w:val="Titre3"/>
    <w:rsid w:val="005F6132"/>
    <w:rPr>
      <w:rFonts w:eastAsia="Times New Roman"/>
      <w:noProof/>
      <w:lang w:val="fr-CA" w:eastAsia="en-US" w:bidi="ar-SA"/>
    </w:rPr>
  </w:style>
  <w:style w:type="character" w:customStyle="1" w:styleId="Titre4Car">
    <w:name w:val="Titre 4 Car"/>
    <w:basedOn w:val="Policepardfaut"/>
    <w:link w:val="Titre4"/>
    <w:rsid w:val="005F6132"/>
    <w:rPr>
      <w:rFonts w:eastAsia="Times New Roman"/>
      <w:noProof/>
      <w:lang w:val="fr-CA" w:eastAsia="en-US" w:bidi="ar-SA"/>
    </w:rPr>
  </w:style>
  <w:style w:type="character" w:customStyle="1" w:styleId="Titre5Car">
    <w:name w:val="Titre 5 Car"/>
    <w:basedOn w:val="Policepardfaut"/>
    <w:link w:val="Titre5"/>
    <w:rsid w:val="005F6132"/>
    <w:rPr>
      <w:rFonts w:eastAsia="Times New Roman"/>
      <w:noProof/>
      <w:lang w:val="fr-CA" w:eastAsia="en-US" w:bidi="ar-SA"/>
    </w:rPr>
  </w:style>
  <w:style w:type="character" w:customStyle="1" w:styleId="Titre6Car">
    <w:name w:val="Titre 6 Car"/>
    <w:basedOn w:val="Policepardfaut"/>
    <w:link w:val="Titre6"/>
    <w:rsid w:val="005F6132"/>
    <w:rPr>
      <w:rFonts w:eastAsia="Times New Roman"/>
      <w:noProof/>
      <w:lang w:val="fr-CA" w:eastAsia="en-US" w:bidi="ar-SA"/>
    </w:rPr>
  </w:style>
  <w:style w:type="character" w:customStyle="1" w:styleId="Titre7Car">
    <w:name w:val="Titre 7 Car"/>
    <w:basedOn w:val="Policepardfaut"/>
    <w:link w:val="Titre7"/>
    <w:rsid w:val="005F6132"/>
    <w:rPr>
      <w:rFonts w:eastAsia="Times New Roman"/>
      <w:noProof/>
      <w:lang w:val="fr-CA" w:eastAsia="en-US" w:bidi="ar-SA"/>
    </w:rPr>
  </w:style>
  <w:style w:type="character" w:customStyle="1" w:styleId="Titre8Car">
    <w:name w:val="Titre 8 Car"/>
    <w:basedOn w:val="Policepardfaut"/>
    <w:link w:val="Titre8"/>
    <w:rsid w:val="005F6132"/>
    <w:rPr>
      <w:rFonts w:eastAsia="Times New Roman"/>
      <w:noProof/>
      <w:lang w:val="fr-CA" w:eastAsia="en-US" w:bidi="ar-SA"/>
    </w:rPr>
  </w:style>
  <w:style w:type="character" w:customStyle="1" w:styleId="Titre9Car">
    <w:name w:val="Titre 9 Car"/>
    <w:basedOn w:val="Policepardfaut"/>
    <w:link w:val="Titre9"/>
    <w:rsid w:val="005F6132"/>
    <w:rPr>
      <w:rFonts w:eastAsia="Times New Roman"/>
      <w:noProof/>
      <w:lang w:val="fr-CA" w:eastAsia="en-US" w:bidi="ar-SA"/>
    </w:rPr>
  </w:style>
  <w:style w:type="paragraph" w:customStyle="1" w:styleId="Titreniveau2i">
    <w:name w:val="Titre niveau 2i"/>
    <w:basedOn w:val="Titreniveau2"/>
    <w:autoRedefine/>
    <w:rsid w:val="00A07EC4"/>
    <w:rPr>
      <w:i/>
      <w:sz w:val="36"/>
    </w:rPr>
  </w:style>
  <w:style w:type="character" w:customStyle="1" w:styleId="En-tte1">
    <w:name w:val="En-tête #1_"/>
    <w:basedOn w:val="Policepardfaut"/>
    <w:link w:val="En-tte10"/>
    <w:rsid w:val="008C2EB4"/>
    <w:rPr>
      <w:rFonts w:ascii="Times New Roman" w:eastAsia="Times New Roman" w:hAnsi="Times New Roman"/>
      <w:b/>
      <w:bCs/>
      <w:i/>
      <w:iCs/>
      <w:sz w:val="38"/>
      <w:szCs w:val="38"/>
      <w:shd w:val="clear" w:color="auto" w:fill="FFFFFF"/>
    </w:rPr>
  </w:style>
  <w:style w:type="character" w:customStyle="1" w:styleId="Corpsdutexte4">
    <w:name w:val="Corps du texte (4)_"/>
    <w:basedOn w:val="Policepardfaut"/>
    <w:link w:val="Corpsdutexte40"/>
    <w:rsid w:val="008C2EB4"/>
    <w:rPr>
      <w:rFonts w:ascii="Times New Roman" w:eastAsia="Times New Roman" w:hAnsi="Times New Roman"/>
      <w:sz w:val="19"/>
      <w:szCs w:val="19"/>
      <w:shd w:val="clear" w:color="auto" w:fill="FFFFFF"/>
    </w:rPr>
  </w:style>
  <w:style w:type="character" w:customStyle="1" w:styleId="En-tteoupieddepage2">
    <w:name w:val="En-tête ou pied de page (2)"/>
    <w:basedOn w:val="Policepardfaut"/>
    <w:rsid w:val="008C2EB4"/>
    <w:rPr>
      <w:rFonts w:ascii="Times New Roman" w:eastAsia="Times New Roman" w:hAnsi="Times New Roman" w:cs="Times New Roman"/>
      <w:b w:val="0"/>
      <w:bCs w:val="0"/>
      <w:i/>
      <w:iCs/>
      <w:smallCaps w:val="0"/>
      <w:strike w:val="0"/>
      <w:spacing w:val="0"/>
      <w:sz w:val="16"/>
      <w:szCs w:val="16"/>
      <w:u w:val="none"/>
    </w:rPr>
  </w:style>
  <w:style w:type="character" w:customStyle="1" w:styleId="Corpsdutexte4Italique">
    <w:name w:val="Corps du texte (4) + Italique"/>
    <w:basedOn w:val="Corpsdutexte4"/>
    <w:rsid w:val="008C2EB4"/>
    <w:rPr>
      <w:rFonts w:ascii="Times New Roman" w:eastAsia="Times New Roman" w:hAnsi="Times New Roman"/>
      <w:i/>
      <w:iCs/>
      <w:color w:val="000000"/>
      <w:spacing w:val="0"/>
      <w:w w:val="100"/>
      <w:position w:val="0"/>
      <w:sz w:val="19"/>
      <w:szCs w:val="19"/>
      <w:shd w:val="clear" w:color="auto" w:fill="FFFFFF"/>
      <w:lang w:val="fr-FR" w:eastAsia="fr-FR" w:bidi="fr-FR"/>
    </w:rPr>
  </w:style>
  <w:style w:type="character" w:customStyle="1" w:styleId="Corpsdutexte5">
    <w:name w:val="Corps du texte (5)_"/>
    <w:basedOn w:val="Policepardfaut"/>
    <w:link w:val="Corpsdutexte50"/>
    <w:rsid w:val="008C2EB4"/>
    <w:rPr>
      <w:rFonts w:ascii="Times New Roman" w:eastAsia="Times New Roman" w:hAnsi="Times New Roman"/>
      <w:i/>
      <w:iCs/>
      <w:sz w:val="19"/>
      <w:szCs w:val="19"/>
      <w:shd w:val="clear" w:color="auto" w:fill="FFFFFF"/>
    </w:rPr>
  </w:style>
  <w:style w:type="character" w:customStyle="1" w:styleId="Corpsdutexte5NonItalique">
    <w:name w:val="Corps du texte (5) + Non Italique"/>
    <w:basedOn w:val="Corpsdutexte5"/>
    <w:rsid w:val="008C2EB4"/>
    <w:rPr>
      <w:rFonts w:ascii="Times New Roman" w:eastAsia="Times New Roman" w:hAnsi="Times New Roman"/>
      <w:i w:val="0"/>
      <w:iCs w:val="0"/>
      <w:color w:val="000000"/>
      <w:spacing w:val="0"/>
      <w:w w:val="100"/>
      <w:position w:val="0"/>
      <w:sz w:val="19"/>
      <w:szCs w:val="19"/>
      <w:shd w:val="clear" w:color="auto" w:fill="FFFFFF"/>
      <w:lang w:val="fr-FR" w:eastAsia="fr-FR" w:bidi="fr-FR"/>
    </w:rPr>
  </w:style>
  <w:style w:type="character" w:customStyle="1" w:styleId="Corpsdutexte5Espacement1pt">
    <w:name w:val="Corps du texte (5) + Espacement 1 pt"/>
    <w:basedOn w:val="Corpsdutexte5"/>
    <w:rsid w:val="008C2EB4"/>
    <w:rPr>
      <w:rFonts w:ascii="Times New Roman" w:eastAsia="Times New Roman" w:hAnsi="Times New Roman"/>
      <w:i w:val="0"/>
      <w:iCs w:val="0"/>
      <w:color w:val="000000"/>
      <w:spacing w:val="30"/>
      <w:w w:val="100"/>
      <w:position w:val="0"/>
      <w:sz w:val="19"/>
      <w:szCs w:val="19"/>
      <w:shd w:val="clear" w:color="auto" w:fill="FFFFFF"/>
      <w:lang w:val="fr-FR" w:eastAsia="fr-FR" w:bidi="fr-FR"/>
    </w:rPr>
  </w:style>
  <w:style w:type="character" w:customStyle="1" w:styleId="Corpsdutexte8Exact">
    <w:name w:val="Corps du texte (8) Exact"/>
    <w:basedOn w:val="Policepardfaut"/>
    <w:rsid w:val="008C2EB4"/>
    <w:rPr>
      <w:rFonts w:ascii="Times New Roman" w:eastAsia="Times New Roman" w:hAnsi="Times New Roman" w:cs="Times New Roman"/>
      <w:b w:val="0"/>
      <w:bCs w:val="0"/>
      <w:i/>
      <w:iCs/>
      <w:smallCaps w:val="0"/>
      <w:strike w:val="0"/>
      <w:sz w:val="22"/>
      <w:szCs w:val="22"/>
      <w:u w:val="none"/>
    </w:rPr>
  </w:style>
  <w:style w:type="character" w:customStyle="1" w:styleId="Corpsdutexte5Exact">
    <w:name w:val="Corps du texte (5) Exact"/>
    <w:basedOn w:val="Policepardfaut"/>
    <w:rsid w:val="008C2EB4"/>
    <w:rPr>
      <w:rFonts w:ascii="Times New Roman" w:eastAsia="Times New Roman" w:hAnsi="Times New Roman" w:cs="Times New Roman"/>
      <w:b w:val="0"/>
      <w:bCs w:val="0"/>
      <w:i/>
      <w:iCs/>
      <w:smallCaps w:val="0"/>
      <w:strike w:val="0"/>
      <w:sz w:val="19"/>
      <w:szCs w:val="19"/>
      <w:u w:val="none"/>
    </w:rPr>
  </w:style>
  <w:style w:type="character" w:customStyle="1" w:styleId="Corpsdutexte295pt">
    <w:name w:val="Corps du texte (2) + 9.5 pt"/>
    <w:basedOn w:val="Corpsdutexte2"/>
    <w:rsid w:val="008C2EB4"/>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fr-FR" w:eastAsia="fr-FR" w:bidi="fr-FR"/>
    </w:rPr>
  </w:style>
  <w:style w:type="character" w:customStyle="1" w:styleId="Corpsdutexte310ptNonItaliqueEspacement0pt">
    <w:name w:val="Corps du texte (3) + 10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uz-Cyrl-UZ"/>
    </w:rPr>
  </w:style>
  <w:style w:type="character" w:customStyle="1" w:styleId="En-tteoupieddepage6">
    <w:name w:val="En-tête ou pied de page (6)"/>
    <w:basedOn w:val="Policepardfaut"/>
    <w:rsid w:val="008C2EB4"/>
    <w:rPr>
      <w:rFonts w:ascii="Times New Roman" w:eastAsia="Times New Roman" w:hAnsi="Times New Roman" w:cs="Times New Roman"/>
      <w:b w:val="0"/>
      <w:bCs w:val="0"/>
      <w:i/>
      <w:iCs/>
      <w:smallCaps w:val="0"/>
      <w:strike w:val="0"/>
      <w:spacing w:val="10"/>
      <w:sz w:val="14"/>
      <w:szCs w:val="14"/>
      <w:u w:val="none"/>
    </w:rPr>
  </w:style>
  <w:style w:type="character" w:customStyle="1" w:styleId="Corpsdutexte411pt">
    <w:name w:val="Corps du texte (4) + 11 pt"/>
    <w:basedOn w:val="Corpsdutexte4"/>
    <w:rsid w:val="008C2EB4"/>
    <w:rPr>
      <w:rFonts w:ascii="Times New Roman" w:eastAsia="Times New Roman" w:hAnsi="Times New Roman"/>
      <w:color w:val="000000"/>
      <w:spacing w:val="0"/>
      <w:w w:val="100"/>
      <w:position w:val="0"/>
      <w:sz w:val="22"/>
      <w:szCs w:val="22"/>
      <w:shd w:val="clear" w:color="auto" w:fill="FFFFFF"/>
      <w:lang w:val="fr-FR" w:eastAsia="fr-FR" w:bidi="fr-FR"/>
    </w:rPr>
  </w:style>
  <w:style w:type="character" w:customStyle="1" w:styleId="Corpsdutexte411ptItalique">
    <w:name w:val="Corps du texte (4) + 11 pt;Italique"/>
    <w:basedOn w:val="Corpsdutexte4"/>
    <w:rsid w:val="008C2EB4"/>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En-tteoupieddepage7">
    <w:name w:val="En-tête ou pied de page (7)"/>
    <w:basedOn w:val="Policepardfaut"/>
    <w:rsid w:val="008C2EB4"/>
    <w:rPr>
      <w:rFonts w:ascii="Times New Roman" w:eastAsia="Times New Roman" w:hAnsi="Times New Roman" w:cs="Times New Roman"/>
      <w:b w:val="0"/>
      <w:bCs w:val="0"/>
      <w:i/>
      <w:iCs/>
      <w:smallCaps w:val="0"/>
      <w:strike w:val="0"/>
      <w:sz w:val="16"/>
      <w:szCs w:val="16"/>
      <w:u w:val="none"/>
    </w:rPr>
  </w:style>
  <w:style w:type="character" w:customStyle="1" w:styleId="Corpsdutexte385ptNonItaliqueEspacement0pt">
    <w:name w:val="Corps du texte (3) + 8.5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311pt">
    <w:name w:val="Corps du texte (13) + 11 pt"/>
    <w:basedOn w:val="Corpsdutexte13"/>
    <w:rsid w:val="008C2EB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style>
  <w:style w:type="character" w:customStyle="1" w:styleId="En-tteoupieddepage8">
    <w:name w:val="En-tête ou pied de page (8)"/>
    <w:basedOn w:val="Policepardfaut"/>
    <w:rsid w:val="008C2EB4"/>
    <w:rPr>
      <w:rFonts w:ascii="Times New Roman" w:eastAsia="Times New Roman" w:hAnsi="Times New Roman" w:cs="Times New Roman"/>
      <w:b/>
      <w:bCs/>
      <w:i w:val="0"/>
      <w:iCs w:val="0"/>
      <w:smallCaps w:val="0"/>
      <w:strike w:val="0"/>
      <w:sz w:val="16"/>
      <w:szCs w:val="16"/>
      <w:u w:val="none"/>
    </w:rPr>
  </w:style>
  <w:style w:type="character" w:customStyle="1" w:styleId="Corpsdutexte310ptGrasEspacement0pt">
    <w:name w:val="Corps du texte (3) + 10 pt;Gras;Espacement 0 pt"/>
    <w:basedOn w:val="Corpsdutexte3"/>
    <w:rsid w:val="008C2EB4"/>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En-tte110ptNonGrasNonItalique">
    <w:name w:val="En-tête #1 + 10 pt;Non Gras;Non Italique"/>
    <w:basedOn w:val="En-tte1"/>
    <w:rsid w:val="008C2EB4"/>
    <w:rPr>
      <w:rFonts w:ascii="Times New Roman" w:eastAsia="Times New Roman" w:hAnsi="Times New Roman"/>
      <w:b w:val="0"/>
      <w:bCs w:val="0"/>
      <w:i w:val="0"/>
      <w:iCs w:val="0"/>
      <w:color w:val="000000"/>
      <w:spacing w:val="0"/>
      <w:w w:val="100"/>
      <w:position w:val="0"/>
      <w:sz w:val="20"/>
      <w:szCs w:val="20"/>
      <w:shd w:val="clear" w:color="auto" w:fill="FFFFFF"/>
      <w:lang w:val="fr-FR" w:eastAsia="fr-FR" w:bidi="fr-FR"/>
    </w:rPr>
  </w:style>
  <w:style w:type="character" w:customStyle="1" w:styleId="En-tteoupieddepageArial75pt">
    <w:name w:val="En-tête ou pied de page + Arial;7.5 pt"/>
    <w:basedOn w:val="En-tteoupieddepage"/>
    <w:rsid w:val="008C2EB4"/>
    <w:rPr>
      <w:rFonts w:ascii="Arial" w:eastAsia="Arial" w:hAnsi="Arial" w:cs="Arial"/>
      <w:b w:val="0"/>
      <w:bCs w:val="0"/>
      <w:i w:val="0"/>
      <w:iCs w:val="0"/>
      <w:smallCaps w:val="0"/>
      <w:strike w:val="0"/>
      <w:color w:val="000000"/>
      <w:spacing w:val="10"/>
      <w:w w:val="100"/>
      <w:position w:val="0"/>
      <w:sz w:val="15"/>
      <w:szCs w:val="15"/>
      <w:u w:val="none"/>
      <w:lang w:val="fr-FR" w:eastAsia="fr-FR" w:bidi="fr-FR"/>
    </w:rPr>
  </w:style>
  <w:style w:type="character" w:customStyle="1" w:styleId="Corpsdutexte228ptGrasItalique">
    <w:name w:val="Corps du texte (2) + 28 pt;Gras;Italique"/>
    <w:basedOn w:val="Corpsdutexte2"/>
    <w:rsid w:val="008C2EB4"/>
    <w:rPr>
      <w:rFonts w:ascii="Times New Roman" w:eastAsia="Times New Roman" w:hAnsi="Times New Roman" w:cs="Times New Roman"/>
      <w:b/>
      <w:bCs/>
      <w:i/>
      <w:iCs/>
      <w:smallCaps w:val="0"/>
      <w:strike w:val="0"/>
      <w:color w:val="000000"/>
      <w:spacing w:val="0"/>
      <w:w w:val="100"/>
      <w:position w:val="0"/>
      <w:sz w:val="56"/>
      <w:szCs w:val="56"/>
      <w:u w:val="none"/>
      <w:shd w:val="clear" w:color="auto" w:fill="FFFFFF"/>
      <w:lang w:val="fr-FR" w:eastAsia="fr-FR" w:bidi="fr-FR"/>
    </w:rPr>
  </w:style>
  <w:style w:type="character" w:customStyle="1" w:styleId="Lgendedutableau">
    <w:name w:val="Légende du tableau_"/>
    <w:basedOn w:val="Policepardfaut"/>
    <w:link w:val="Lgendedutableau0"/>
    <w:rsid w:val="008C2EB4"/>
    <w:rPr>
      <w:rFonts w:ascii="Times New Roman" w:eastAsia="Times New Roman" w:hAnsi="Times New Roman"/>
      <w:b/>
      <w:bCs/>
      <w:sz w:val="22"/>
      <w:szCs w:val="22"/>
      <w:shd w:val="clear" w:color="auto" w:fill="FFFFFF"/>
    </w:rPr>
  </w:style>
  <w:style w:type="character" w:customStyle="1" w:styleId="Lgendedutableau2">
    <w:name w:val="Légende du tableau (2)_"/>
    <w:basedOn w:val="Policepardfaut"/>
    <w:link w:val="Lgendedutableau20"/>
    <w:rsid w:val="008C2EB4"/>
    <w:rPr>
      <w:rFonts w:ascii="Times New Roman" w:eastAsia="Times New Roman" w:hAnsi="Times New Roman"/>
      <w:sz w:val="17"/>
      <w:szCs w:val="17"/>
      <w:shd w:val="clear" w:color="auto" w:fill="FFFFFF"/>
    </w:rPr>
  </w:style>
  <w:style w:type="character" w:customStyle="1" w:styleId="Corpsdutexte29ptGras">
    <w:name w:val="Corps du texte (2) + 9 pt;Gras"/>
    <w:basedOn w:val="Corpsdutexte2"/>
    <w:rsid w:val="008C2EB4"/>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fr-FR" w:eastAsia="fr-FR" w:bidi="fr-FR"/>
    </w:rPr>
  </w:style>
  <w:style w:type="character" w:customStyle="1" w:styleId="Corpsdutexte4Petitesmajuscules">
    <w:name w:val="Corps du texte (4) + Petites majuscules"/>
    <w:basedOn w:val="Corpsdutexte4"/>
    <w:rsid w:val="008C2EB4"/>
    <w:rPr>
      <w:rFonts w:ascii="Times New Roman" w:eastAsia="Times New Roman" w:hAnsi="Times New Roman"/>
      <w:smallCaps/>
      <w:color w:val="000000"/>
      <w:spacing w:val="0"/>
      <w:w w:val="100"/>
      <w:position w:val="0"/>
      <w:sz w:val="19"/>
      <w:szCs w:val="19"/>
      <w:shd w:val="clear" w:color="auto" w:fill="FFFFFF"/>
      <w:lang w:val="fr-FR" w:eastAsia="fr-FR" w:bidi="fr-FR"/>
    </w:rPr>
  </w:style>
  <w:style w:type="character" w:customStyle="1" w:styleId="Corpsdutexte395ptNonItaliqueEspacement0pt">
    <w:name w:val="Corps du texte (3) + 9.5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140">
    <w:name w:val="Corps du texte (14)_"/>
    <w:basedOn w:val="Policepardfaut"/>
    <w:rsid w:val="008C2EB4"/>
    <w:rPr>
      <w:rFonts w:ascii="Times New Roman" w:eastAsia="Times New Roman" w:hAnsi="Times New Roman" w:cs="Times New Roman"/>
      <w:b/>
      <w:bCs/>
      <w:i w:val="0"/>
      <w:iCs w:val="0"/>
      <w:smallCaps w:val="0"/>
      <w:strike w:val="0"/>
      <w:sz w:val="22"/>
      <w:szCs w:val="22"/>
      <w:u w:val="none"/>
    </w:rPr>
  </w:style>
  <w:style w:type="character" w:customStyle="1" w:styleId="Corpsdutexte285pt">
    <w:name w:val="Corps du texte (2) + 8.5 pt"/>
    <w:basedOn w:val="Corpsdutexte2"/>
    <w:rsid w:val="008C2EB4"/>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295ptPetitesmajuscules">
    <w:name w:val="Corps du texte (2) + 9.5 pt;Petites majuscules"/>
    <w:basedOn w:val="Corpsdutexte2"/>
    <w:rsid w:val="008C2EB4"/>
    <w:rPr>
      <w:rFonts w:ascii="Times New Roman" w:eastAsia="Times New Roman" w:hAnsi="Times New Roman" w:cs="Times New Roman"/>
      <w:b w:val="0"/>
      <w:bCs w:val="0"/>
      <w:i w:val="0"/>
      <w:iCs w:val="0"/>
      <w:smallCaps/>
      <w:strike w:val="0"/>
      <w:color w:val="000000"/>
      <w:spacing w:val="0"/>
      <w:w w:val="100"/>
      <w:position w:val="0"/>
      <w:sz w:val="19"/>
      <w:szCs w:val="19"/>
      <w:u w:val="none"/>
      <w:shd w:val="clear" w:color="auto" w:fill="FFFFFF"/>
      <w:lang w:val="fr-FR" w:eastAsia="fr-FR" w:bidi="fr-FR"/>
    </w:rPr>
  </w:style>
  <w:style w:type="character" w:customStyle="1" w:styleId="Lgendedutableau4">
    <w:name w:val="Légende du tableau (4)_"/>
    <w:basedOn w:val="Policepardfaut"/>
    <w:link w:val="Lgendedutableau40"/>
    <w:rsid w:val="008C2EB4"/>
    <w:rPr>
      <w:rFonts w:ascii="Times New Roman" w:eastAsia="Times New Roman" w:hAnsi="Times New Roman"/>
      <w:b/>
      <w:bCs/>
      <w:sz w:val="18"/>
      <w:szCs w:val="18"/>
      <w:shd w:val="clear" w:color="auto" w:fill="FFFFFF"/>
    </w:rPr>
  </w:style>
  <w:style w:type="character" w:customStyle="1" w:styleId="Lgendedutableau485ptNonGras">
    <w:name w:val="Légende du tableau (4) + 8.5 pt;Non Gras"/>
    <w:basedOn w:val="Lgendedutableau4"/>
    <w:rsid w:val="008C2EB4"/>
    <w:rPr>
      <w:rFonts w:ascii="Times New Roman" w:eastAsia="Times New Roman" w:hAnsi="Times New Roman"/>
      <w:b w:val="0"/>
      <w:bCs w:val="0"/>
      <w:color w:val="000000"/>
      <w:spacing w:val="0"/>
      <w:w w:val="100"/>
      <w:position w:val="0"/>
      <w:sz w:val="17"/>
      <w:szCs w:val="17"/>
      <w:shd w:val="clear" w:color="auto" w:fill="FFFFFF"/>
      <w:lang w:val="fr-FR" w:eastAsia="fr-FR" w:bidi="fr-FR"/>
    </w:rPr>
  </w:style>
  <w:style w:type="character" w:customStyle="1" w:styleId="Corpsdutexte15Petitesmajuscules">
    <w:name w:val="Corps du texte (15) + Petites majuscules"/>
    <w:basedOn w:val="Corpsdutexte15"/>
    <w:rsid w:val="008C2EB4"/>
    <w:rPr>
      <w:rFonts w:ascii="Times New Roman" w:eastAsia="Times New Roman" w:hAnsi="Times New Roman" w:cs="Times New Roman"/>
      <w:b/>
      <w:bCs/>
      <w:i w:val="0"/>
      <w:iCs w:val="0"/>
      <w:smallCaps/>
      <w:strike w:val="0"/>
      <w:color w:val="000000"/>
      <w:spacing w:val="0"/>
      <w:w w:val="100"/>
      <w:position w:val="0"/>
      <w:sz w:val="20"/>
      <w:szCs w:val="20"/>
      <w:u w:val="none"/>
      <w:shd w:val="clear" w:color="auto" w:fill="FFFFFF"/>
      <w:lang w:val="fr-FR" w:eastAsia="fr-FR" w:bidi="fr-FR"/>
    </w:rPr>
  </w:style>
  <w:style w:type="character" w:customStyle="1" w:styleId="NotedebasdepageItalique">
    <w:name w:val="Note de bas de page + Italique"/>
    <w:basedOn w:val="Notedebasdepage0"/>
    <w:rsid w:val="008C2EB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En-tteoupieddepage10ptNonItaliqueEspacement1pt">
    <w:name w:val="En-tête ou pied de page + 10 pt;Non Italique;Espacement 1 pt"/>
    <w:basedOn w:val="En-tteoupieddepage"/>
    <w:rsid w:val="008C2EB4"/>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fr-FR" w:eastAsia="fr-FR" w:bidi="fr-FR"/>
    </w:rPr>
  </w:style>
  <w:style w:type="character" w:customStyle="1" w:styleId="En-tteoupieddepage10ptNonItaliqueEspacement0pt">
    <w:name w:val="En-tête ou pied de page + 10 pt;Non Italique;Espacement 0 pt"/>
    <w:basedOn w:val="En-tteoupieddepage"/>
    <w:rsid w:val="008C2EB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En-tteoupieddepage6GrasNonItaliqueEspacement0pt">
    <w:name w:val="En-tête ou pied de page (6) + Gras;Non Italique;Espacement 0 pt"/>
    <w:basedOn w:val="Policepardfaut"/>
    <w:rsid w:val="008C2EB4"/>
    <w:rPr>
      <w:rFonts w:ascii="Times New Roman" w:eastAsia="Times New Roman" w:hAnsi="Times New Roman" w:cs="Times New Roman"/>
      <w:b/>
      <w:bCs/>
      <w:i w:val="0"/>
      <w:iCs w:val="0"/>
      <w:smallCaps w:val="0"/>
      <w:strike w:val="0"/>
      <w:sz w:val="14"/>
      <w:szCs w:val="14"/>
      <w:u w:val="none"/>
    </w:rPr>
  </w:style>
  <w:style w:type="character" w:customStyle="1" w:styleId="En-tteoupieddepage610ptNonItaliqueEspacement0pt">
    <w:name w:val="En-tête ou pied de page (6) + 10 pt;Non Italique;Espacement 0 pt"/>
    <w:basedOn w:val="Policepardfaut"/>
    <w:rsid w:val="008C2EB4"/>
    <w:rPr>
      <w:rFonts w:ascii="Times New Roman" w:eastAsia="Times New Roman" w:hAnsi="Times New Roman" w:cs="Times New Roman"/>
      <w:b w:val="0"/>
      <w:bCs w:val="0"/>
      <w:i w:val="0"/>
      <w:iCs w:val="0"/>
      <w:smallCaps w:val="0"/>
      <w:strike w:val="0"/>
      <w:sz w:val="20"/>
      <w:szCs w:val="20"/>
      <w:u w:val="none"/>
    </w:rPr>
  </w:style>
  <w:style w:type="character" w:customStyle="1" w:styleId="En-tteoupieddepage6Espacement0pt">
    <w:name w:val="En-tête ou pied de page (6) + Espacement 0 pt"/>
    <w:basedOn w:val="Policepardfaut"/>
    <w:rsid w:val="008C2EB4"/>
    <w:rPr>
      <w:rFonts w:ascii="Times New Roman" w:eastAsia="Times New Roman" w:hAnsi="Times New Roman" w:cs="Times New Roman"/>
      <w:b w:val="0"/>
      <w:bCs w:val="0"/>
      <w:i/>
      <w:iCs/>
      <w:smallCaps w:val="0"/>
      <w:strike w:val="0"/>
      <w:spacing w:val="-10"/>
      <w:sz w:val="14"/>
      <w:szCs w:val="14"/>
      <w:u w:val="none"/>
    </w:rPr>
  </w:style>
  <w:style w:type="paragraph" w:customStyle="1" w:styleId="En-tte10">
    <w:name w:val="En-tête #1"/>
    <w:basedOn w:val="Normal"/>
    <w:link w:val="En-tte1"/>
    <w:rsid w:val="008C2EB4"/>
    <w:pPr>
      <w:widowControl w:val="0"/>
      <w:shd w:val="clear" w:color="auto" w:fill="FFFFFF"/>
      <w:spacing w:before="3120" w:after="60" w:line="0" w:lineRule="atLeast"/>
      <w:jc w:val="right"/>
      <w:outlineLvl w:val="0"/>
    </w:pPr>
    <w:rPr>
      <w:b/>
      <w:bCs/>
      <w:i/>
      <w:iCs/>
      <w:sz w:val="38"/>
      <w:szCs w:val="38"/>
      <w:lang w:val="fr-FR" w:eastAsia="fr-FR"/>
    </w:rPr>
  </w:style>
  <w:style w:type="paragraph" w:customStyle="1" w:styleId="Corpsdutexte40">
    <w:name w:val="Corps du texte (4)"/>
    <w:basedOn w:val="Normal"/>
    <w:link w:val="Corpsdutexte4"/>
    <w:rsid w:val="008C2EB4"/>
    <w:pPr>
      <w:widowControl w:val="0"/>
      <w:shd w:val="clear" w:color="auto" w:fill="FFFFFF"/>
      <w:spacing w:before="300" w:after="60" w:line="206" w:lineRule="exact"/>
      <w:ind w:hanging="731"/>
      <w:jc w:val="both"/>
    </w:pPr>
    <w:rPr>
      <w:sz w:val="19"/>
      <w:szCs w:val="19"/>
      <w:lang w:val="fr-FR" w:eastAsia="fr-FR"/>
    </w:rPr>
  </w:style>
  <w:style w:type="paragraph" w:customStyle="1" w:styleId="Corpsdutexte50">
    <w:name w:val="Corps du texte (5)"/>
    <w:basedOn w:val="Normal"/>
    <w:link w:val="Corpsdutexte5"/>
    <w:rsid w:val="008C2EB4"/>
    <w:pPr>
      <w:widowControl w:val="0"/>
      <w:shd w:val="clear" w:color="auto" w:fill="FFFFFF"/>
      <w:spacing w:before="60" w:after="60" w:line="206" w:lineRule="exact"/>
      <w:ind w:hanging="731"/>
      <w:jc w:val="both"/>
    </w:pPr>
    <w:rPr>
      <w:i/>
      <w:iCs/>
      <w:sz w:val="19"/>
      <w:szCs w:val="19"/>
      <w:lang w:val="fr-FR" w:eastAsia="fr-FR"/>
    </w:rPr>
  </w:style>
  <w:style w:type="paragraph" w:customStyle="1" w:styleId="Lgendedutableau0">
    <w:name w:val="Légende du tableau"/>
    <w:basedOn w:val="Normal"/>
    <w:link w:val="Lgendedutableau"/>
    <w:rsid w:val="008C2EB4"/>
    <w:pPr>
      <w:widowControl w:val="0"/>
      <w:shd w:val="clear" w:color="auto" w:fill="FFFFFF"/>
      <w:spacing w:line="240" w:lineRule="exact"/>
      <w:jc w:val="center"/>
    </w:pPr>
    <w:rPr>
      <w:b/>
      <w:bCs/>
      <w:sz w:val="22"/>
      <w:szCs w:val="22"/>
      <w:lang w:val="fr-FR" w:eastAsia="fr-FR"/>
    </w:rPr>
  </w:style>
  <w:style w:type="paragraph" w:customStyle="1" w:styleId="Lgendedutableau20">
    <w:name w:val="Légende du tableau (2)"/>
    <w:basedOn w:val="Normal"/>
    <w:link w:val="Lgendedutableau2"/>
    <w:rsid w:val="008C2EB4"/>
    <w:pPr>
      <w:widowControl w:val="0"/>
      <w:shd w:val="clear" w:color="auto" w:fill="FFFFFF"/>
      <w:spacing w:line="0" w:lineRule="atLeast"/>
      <w:ind w:firstLine="29"/>
    </w:pPr>
    <w:rPr>
      <w:sz w:val="17"/>
      <w:szCs w:val="17"/>
      <w:lang w:val="fr-FR" w:eastAsia="fr-FR"/>
    </w:rPr>
  </w:style>
  <w:style w:type="paragraph" w:customStyle="1" w:styleId="Lgendedutableau40">
    <w:name w:val="Légende du tableau (4)"/>
    <w:basedOn w:val="Normal"/>
    <w:link w:val="Lgendedutableau4"/>
    <w:rsid w:val="008C2EB4"/>
    <w:pPr>
      <w:widowControl w:val="0"/>
      <w:shd w:val="clear" w:color="auto" w:fill="FFFFFF"/>
      <w:spacing w:line="0" w:lineRule="atLeast"/>
      <w:ind w:firstLine="29"/>
    </w:pPr>
    <w:rPr>
      <w:b/>
      <w:bCs/>
      <w:sz w:val="18"/>
      <w:szCs w:val="18"/>
      <w:lang w:val="fr-FR" w:eastAsia="fr-FR"/>
    </w:rPr>
  </w:style>
  <w:style w:type="paragraph" w:customStyle="1" w:styleId="figtitre">
    <w:name w:val="fig titre"/>
    <w:basedOn w:val="Normal"/>
    <w:autoRedefine/>
    <w:rsid w:val="00191259"/>
    <w:pPr>
      <w:spacing w:before="120" w:after="120"/>
      <w:ind w:firstLine="0"/>
      <w:jc w:val="center"/>
    </w:pPr>
    <w:rPr>
      <w:color w:val="0000FF"/>
      <w:sz w:val="24"/>
    </w:rPr>
  </w:style>
  <w:style w:type="character" w:customStyle="1" w:styleId="Corpsdutexte48pt">
    <w:name w:val="Corps du texte (4) + 8 pt"/>
    <w:basedOn w:val="Corpsdutexte4"/>
    <w:rsid w:val="00FC161A"/>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3NonItaliqueEspacement0pt">
    <w:name w:val="Corps du texte (3) + Non Italique;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210ptGras">
    <w:name w:val="Corps du texte (2) + 10 pt;Gras"/>
    <w:basedOn w:val="Corpsdutexte2"/>
    <w:rsid w:val="00FC161A"/>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128ptNonItaliqueEspacement0pt">
    <w:name w:val="Corps du texte (12) + 8 pt;Non Italique;Espacement 0 pt"/>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12NonGrasNonItaliqueEspacement0pt">
    <w:name w:val="Corps du texte (12) + Non Gras;Non Italique;Espacement 0 pt"/>
    <w:basedOn w:val="Policepardfaut"/>
    <w:rsid w:val="00FC161A"/>
    <w:rPr>
      <w:rFonts w:ascii="Times New Roman" w:eastAsia="Times New Roman" w:hAnsi="Times New Roman" w:cs="Times New Roman"/>
      <w:b w:val="0"/>
      <w:bCs w:val="0"/>
      <w:i w:val="0"/>
      <w:iCs w:val="0"/>
      <w:smallCaps w:val="0"/>
      <w:strike w:val="0"/>
      <w:sz w:val="15"/>
      <w:szCs w:val="15"/>
      <w:u w:val="none"/>
    </w:rPr>
  </w:style>
  <w:style w:type="character" w:customStyle="1" w:styleId="En-tte210ptNonItalique">
    <w:name w:val="En-tête #2 + 10 pt;Non Italique"/>
    <w:basedOn w:val="En-tte2"/>
    <w:rsid w:val="00FC161A"/>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15NonItalique">
    <w:name w:val="Corps du texte (15) + Non Italique"/>
    <w:basedOn w:val="Corpsdutexte15"/>
    <w:rsid w:val="00FC161A"/>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32">
    <w:name w:val="Corps du texte (32)_"/>
    <w:basedOn w:val="Policepardfaut"/>
    <w:link w:val="Corpsdutexte320"/>
    <w:rsid w:val="00FC161A"/>
    <w:rPr>
      <w:rFonts w:ascii="Times New Roman" w:eastAsia="Times New Roman" w:hAnsi="Times New Roman"/>
      <w:spacing w:val="20"/>
      <w:sz w:val="16"/>
      <w:szCs w:val="16"/>
      <w:shd w:val="clear" w:color="auto" w:fill="FFFFFF"/>
    </w:rPr>
  </w:style>
  <w:style w:type="character" w:customStyle="1" w:styleId="Corpsdutexte32Petitesmajuscules">
    <w:name w:val="Corps du texte (32) + Petites majuscules"/>
    <w:basedOn w:val="Corpsdutexte32"/>
    <w:rsid w:val="00FC161A"/>
    <w:rPr>
      <w:rFonts w:ascii="Times New Roman" w:eastAsia="Times New Roman" w:hAnsi="Times New Roman"/>
      <w:smallCaps/>
      <w:color w:val="000000"/>
      <w:spacing w:val="20"/>
      <w:w w:val="100"/>
      <w:position w:val="0"/>
      <w:sz w:val="16"/>
      <w:szCs w:val="16"/>
      <w:shd w:val="clear" w:color="auto" w:fill="FFFFFF"/>
      <w:lang w:val="fr-FR" w:eastAsia="fr-FR" w:bidi="fr-FR"/>
    </w:rPr>
  </w:style>
  <w:style w:type="character" w:customStyle="1" w:styleId="Corpsdutexte33">
    <w:name w:val="Corps du texte (33)_"/>
    <w:basedOn w:val="Policepardfaut"/>
    <w:link w:val="Corpsdutexte330"/>
    <w:rsid w:val="00FC161A"/>
    <w:rPr>
      <w:rFonts w:ascii="Times New Roman" w:eastAsia="Times New Roman" w:hAnsi="Times New Roman"/>
      <w:spacing w:val="20"/>
      <w:sz w:val="23"/>
      <w:szCs w:val="23"/>
      <w:shd w:val="clear" w:color="auto" w:fill="FFFFFF"/>
    </w:rPr>
  </w:style>
  <w:style w:type="character" w:customStyle="1" w:styleId="Corpsdutexte3311ptItaliqueEspacement0pt">
    <w:name w:val="Corps du texte (33) + 11 pt;Italique;Espacement 0 pt"/>
    <w:basedOn w:val="Corpsdutexte33"/>
    <w:rsid w:val="00FC161A"/>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Corpsdutexte180">
    <w:name w:val="Corps du texte (18)_"/>
    <w:basedOn w:val="Policepardfaut"/>
    <w:rsid w:val="00FC161A"/>
    <w:rPr>
      <w:rFonts w:ascii="Times New Roman" w:eastAsia="Times New Roman" w:hAnsi="Times New Roman" w:cs="Times New Roman"/>
      <w:b w:val="0"/>
      <w:bCs w:val="0"/>
      <w:i/>
      <w:iCs/>
      <w:smallCaps w:val="0"/>
      <w:strike w:val="0"/>
      <w:spacing w:val="30"/>
      <w:sz w:val="30"/>
      <w:szCs w:val="30"/>
      <w:u w:val="none"/>
    </w:rPr>
  </w:style>
  <w:style w:type="character" w:customStyle="1" w:styleId="En-tteoupieddepage2ItaliqueEspacement0pt">
    <w:name w:val="En-tête ou pied de page (2) + Italique;Espacement 0 pt"/>
    <w:basedOn w:val="Policepardfaut"/>
    <w:rsid w:val="00FC161A"/>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210ptGrasPetitesmajusculesEspacement0pt">
    <w:name w:val="Corps du texte (2) + 10 pt;Gras;Petites majuscules;Espacement 0 pt"/>
    <w:basedOn w:val="Corpsdutexte2"/>
    <w:rsid w:val="00FC161A"/>
    <w:rPr>
      <w:rFonts w:ascii="Times New Roman" w:eastAsia="Times New Roman" w:hAnsi="Times New Roman" w:cs="Times New Roman"/>
      <w:b/>
      <w:bCs/>
      <w:i w:val="0"/>
      <w:iCs w:val="0"/>
      <w:smallCaps/>
      <w:strike w:val="0"/>
      <w:color w:val="000000"/>
      <w:spacing w:val="-10"/>
      <w:w w:val="100"/>
      <w:position w:val="0"/>
      <w:sz w:val="20"/>
      <w:szCs w:val="20"/>
      <w:u w:val="single"/>
      <w:shd w:val="clear" w:color="auto" w:fill="FFFFFF"/>
      <w:lang w:val="fr-FR" w:eastAsia="fr-FR" w:bidi="fr-FR"/>
    </w:rPr>
  </w:style>
  <w:style w:type="character" w:customStyle="1" w:styleId="Corpsdutexte21">
    <w:name w:val="Corps du texte (21)_"/>
    <w:basedOn w:val="Policepardfaut"/>
    <w:link w:val="Corpsdutexte210"/>
    <w:rsid w:val="00FC161A"/>
    <w:rPr>
      <w:rFonts w:ascii="Times New Roman" w:eastAsia="Times New Roman" w:hAnsi="Times New Roman"/>
      <w:b/>
      <w:bCs/>
      <w:sz w:val="19"/>
      <w:szCs w:val="19"/>
      <w:shd w:val="clear" w:color="auto" w:fill="FFFFFF"/>
    </w:rPr>
  </w:style>
  <w:style w:type="character" w:customStyle="1" w:styleId="Corpsdutexte22">
    <w:name w:val="Corps du texte (22)"/>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22NonGras">
    <w:name w:val="Corps du texte (22) + Non Gras"/>
    <w:basedOn w:val="Policepardfaut"/>
    <w:rsid w:val="00FC161A"/>
    <w:rPr>
      <w:rFonts w:ascii="Times New Roman" w:eastAsia="Times New Roman" w:hAnsi="Times New Roman" w:cs="Times New Roman"/>
      <w:b w:val="0"/>
      <w:bCs w:val="0"/>
      <w:i w:val="0"/>
      <w:iCs w:val="0"/>
      <w:smallCaps w:val="0"/>
      <w:strike w:val="0"/>
      <w:sz w:val="16"/>
      <w:szCs w:val="16"/>
      <w:u w:val="none"/>
    </w:rPr>
  </w:style>
  <w:style w:type="character" w:customStyle="1" w:styleId="Corpsdutexte22Italique">
    <w:name w:val="Corps du texte (22) + Italique"/>
    <w:basedOn w:val="Policepardfaut"/>
    <w:rsid w:val="00FC161A"/>
    <w:rPr>
      <w:rFonts w:ascii="Times New Roman" w:eastAsia="Times New Roman" w:hAnsi="Times New Roman" w:cs="Times New Roman"/>
      <w:b/>
      <w:bCs/>
      <w:i/>
      <w:iCs/>
      <w:smallCaps w:val="0"/>
      <w:strike w:val="0"/>
      <w:sz w:val="16"/>
      <w:szCs w:val="16"/>
      <w:u w:val="none"/>
    </w:rPr>
  </w:style>
  <w:style w:type="character" w:customStyle="1" w:styleId="Corpsdutexte410ptGras">
    <w:name w:val="Corps du texte (4) + 10 pt;Gras"/>
    <w:basedOn w:val="Corpsdutexte4"/>
    <w:rsid w:val="00FC161A"/>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375ptGrasNonItaliqueEspacement0pt">
    <w:name w:val="Corps du texte (3) + 7.5 pt;Gras;Non Italique;Espacement 0 pt"/>
    <w:basedOn w:val="Corpsdutexte3"/>
    <w:rsid w:val="00FC161A"/>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395ptEspacement0pt">
    <w:name w:val="Corps du texte (3) + 9.5 pt;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311ptEspacement0pt">
    <w:name w:val="Corps du texte (3) + 11 pt;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27NonItalique">
    <w:name w:val="Corps du texte (27) + Non Italique"/>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27NonGrasNonItalique">
    <w:name w:val="Corps du texte (27) + Non Gras;Non Italique"/>
    <w:basedOn w:val="Policepardfaut"/>
    <w:rsid w:val="00FC161A"/>
    <w:rPr>
      <w:rFonts w:ascii="Times New Roman" w:eastAsia="Times New Roman" w:hAnsi="Times New Roman" w:cs="Times New Roman"/>
      <w:b w:val="0"/>
      <w:bCs w:val="0"/>
      <w:i w:val="0"/>
      <w:iCs w:val="0"/>
      <w:smallCaps w:val="0"/>
      <w:strike w:val="0"/>
      <w:sz w:val="16"/>
      <w:szCs w:val="16"/>
      <w:u w:val="none"/>
    </w:rPr>
  </w:style>
  <w:style w:type="character" w:customStyle="1" w:styleId="Corpsdutexte28">
    <w:name w:val="Corps du texte (28)_"/>
    <w:basedOn w:val="Policepardfaut"/>
    <w:link w:val="Corpsdutexte280"/>
    <w:rsid w:val="00FC161A"/>
    <w:rPr>
      <w:rFonts w:ascii="Times New Roman" w:eastAsia="Times New Roman" w:hAnsi="Times New Roman"/>
      <w:b/>
      <w:bCs/>
      <w:sz w:val="16"/>
      <w:szCs w:val="16"/>
      <w:shd w:val="clear" w:color="auto" w:fill="FFFFFF"/>
    </w:rPr>
  </w:style>
  <w:style w:type="character" w:customStyle="1" w:styleId="En-tteoupieddepageNonItaliqueEspacement0pt">
    <w:name w:val="En-tête ou pied de page + Non Italique;Espacement 0 pt"/>
    <w:basedOn w:val="En-tteoupieddepage"/>
    <w:rsid w:val="00FC161A"/>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style>
  <w:style w:type="character" w:customStyle="1" w:styleId="Corpsdutexte710ptNonGras">
    <w:name w:val="Corps du texte (7) + 10 pt;Non Gras"/>
    <w:basedOn w:val="Corpsdutexte7"/>
    <w:rsid w:val="00FC161A"/>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En-tte285ptNonGrasEspacement0pt">
    <w:name w:val="En-tête #2 + 8.5 pt;Non Gras;Espacement 0 pt"/>
    <w:basedOn w:val="En-tte2"/>
    <w:rsid w:val="00FC161A"/>
    <w:rPr>
      <w:rFonts w:ascii="Times New Roman" w:eastAsia="Times New Roman" w:hAnsi="Times New Roman" w:cs="Times New Roman"/>
      <w:b/>
      <w:bCs/>
      <w:i/>
      <w:iCs/>
      <w:smallCaps w:val="0"/>
      <w:strike w:val="0"/>
      <w:color w:val="000000"/>
      <w:spacing w:val="10"/>
      <w:w w:val="100"/>
      <w:position w:val="0"/>
      <w:sz w:val="17"/>
      <w:szCs w:val="17"/>
      <w:u w:val="none"/>
      <w:shd w:val="clear" w:color="auto" w:fill="FFFFFF"/>
      <w:lang w:val="fr-FR" w:eastAsia="fr-FR" w:bidi="fr-FR"/>
    </w:rPr>
  </w:style>
  <w:style w:type="character" w:customStyle="1" w:styleId="Corpsdutexte2ItaliqueEspacement-1pt">
    <w:name w:val="Corps du texte (2) + Italique;Espacement -1 pt"/>
    <w:basedOn w:val="Corpsdutexte2"/>
    <w:rsid w:val="00FC161A"/>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Corpsdutexte29">
    <w:name w:val="Corps du texte (29)_"/>
    <w:basedOn w:val="Policepardfaut"/>
    <w:link w:val="Corpsdutexte290"/>
    <w:rsid w:val="00FC161A"/>
    <w:rPr>
      <w:rFonts w:ascii="Times New Roman" w:eastAsia="Times New Roman" w:hAnsi="Times New Roman"/>
      <w:i/>
      <w:iCs/>
      <w:sz w:val="16"/>
      <w:szCs w:val="16"/>
      <w:shd w:val="clear" w:color="auto" w:fill="FFFFFF"/>
    </w:rPr>
  </w:style>
  <w:style w:type="paragraph" w:customStyle="1" w:styleId="Corpsdutexte320">
    <w:name w:val="Corps du texte (32)"/>
    <w:basedOn w:val="Normal"/>
    <w:link w:val="Corpsdutexte32"/>
    <w:rsid w:val="00FC161A"/>
    <w:pPr>
      <w:widowControl w:val="0"/>
      <w:shd w:val="clear" w:color="auto" w:fill="FFFFFF"/>
      <w:spacing w:line="91" w:lineRule="exact"/>
      <w:ind w:hanging="5"/>
      <w:jc w:val="both"/>
    </w:pPr>
    <w:rPr>
      <w:spacing w:val="20"/>
      <w:sz w:val="16"/>
      <w:szCs w:val="16"/>
      <w:lang w:val="fr-FR" w:eastAsia="fr-FR"/>
    </w:rPr>
  </w:style>
  <w:style w:type="paragraph" w:customStyle="1" w:styleId="Corpsdutexte330">
    <w:name w:val="Corps du texte (33)"/>
    <w:basedOn w:val="Normal"/>
    <w:link w:val="Corpsdutexte33"/>
    <w:rsid w:val="00FC161A"/>
    <w:pPr>
      <w:widowControl w:val="0"/>
      <w:shd w:val="clear" w:color="auto" w:fill="FFFFFF"/>
      <w:spacing w:line="91" w:lineRule="exact"/>
      <w:ind w:hanging="5"/>
      <w:jc w:val="both"/>
    </w:pPr>
    <w:rPr>
      <w:spacing w:val="20"/>
      <w:sz w:val="23"/>
      <w:szCs w:val="23"/>
      <w:lang w:val="fr-FR" w:eastAsia="fr-FR"/>
    </w:rPr>
  </w:style>
  <w:style w:type="paragraph" w:customStyle="1" w:styleId="Corpsdutexte210">
    <w:name w:val="Corps du texte (21)"/>
    <w:basedOn w:val="Normal"/>
    <w:link w:val="Corpsdutexte21"/>
    <w:rsid w:val="00FC161A"/>
    <w:pPr>
      <w:widowControl w:val="0"/>
      <w:shd w:val="clear" w:color="auto" w:fill="FFFFFF"/>
      <w:spacing w:before="660" w:after="360" w:line="0" w:lineRule="atLeast"/>
      <w:ind w:firstLine="61"/>
      <w:jc w:val="both"/>
    </w:pPr>
    <w:rPr>
      <w:b/>
      <w:bCs/>
      <w:sz w:val="19"/>
      <w:szCs w:val="19"/>
      <w:lang w:val="fr-FR" w:eastAsia="fr-FR"/>
    </w:rPr>
  </w:style>
  <w:style w:type="paragraph" w:customStyle="1" w:styleId="Corpsdutexte280">
    <w:name w:val="Corps du texte (28)"/>
    <w:basedOn w:val="Normal"/>
    <w:link w:val="Corpsdutexte28"/>
    <w:rsid w:val="00FC161A"/>
    <w:pPr>
      <w:widowControl w:val="0"/>
      <w:shd w:val="clear" w:color="auto" w:fill="FFFFFF"/>
      <w:spacing w:line="0" w:lineRule="atLeast"/>
      <w:ind w:firstLine="29"/>
      <w:jc w:val="both"/>
    </w:pPr>
    <w:rPr>
      <w:b/>
      <w:bCs/>
      <w:sz w:val="16"/>
      <w:szCs w:val="16"/>
      <w:lang w:val="fr-FR" w:eastAsia="fr-FR"/>
    </w:rPr>
  </w:style>
  <w:style w:type="paragraph" w:customStyle="1" w:styleId="Corpsdutexte290">
    <w:name w:val="Corps du texte (29)"/>
    <w:basedOn w:val="Normal"/>
    <w:link w:val="Corpsdutexte29"/>
    <w:rsid w:val="00FC161A"/>
    <w:pPr>
      <w:widowControl w:val="0"/>
      <w:shd w:val="clear" w:color="auto" w:fill="FFFFFF"/>
      <w:spacing w:line="0" w:lineRule="atLeast"/>
      <w:ind w:firstLine="29"/>
      <w:jc w:val="both"/>
    </w:pPr>
    <w:rPr>
      <w:i/>
      <w:iCs/>
      <w:sz w:val="16"/>
      <w:szCs w:val="16"/>
      <w:lang w:val="fr-FR" w:eastAsia="fr-FR"/>
    </w:rPr>
  </w:style>
  <w:style w:type="character" w:customStyle="1" w:styleId="En-tte119ptItaliquechelle100">
    <w:name w:val="En-tête #1 + 19 pt;Italique;Échelle 100%"/>
    <w:basedOn w:val="En-tte1"/>
    <w:rsid w:val="00E64A4B"/>
    <w:rPr>
      <w:rFonts w:ascii="Times New Roman" w:eastAsia="Times New Roman" w:hAnsi="Times New Roman" w:cs="Times New Roman"/>
      <w:b/>
      <w:bCs/>
      <w:i/>
      <w:iCs/>
      <w:smallCaps w:val="0"/>
      <w:strike w:val="0"/>
      <w:color w:val="000000"/>
      <w:spacing w:val="0"/>
      <w:w w:val="100"/>
      <w:position w:val="0"/>
      <w:sz w:val="38"/>
      <w:szCs w:val="38"/>
      <w:u w:val="none"/>
      <w:shd w:val="clear" w:color="auto" w:fill="FFFFFF"/>
      <w:lang w:val="fr-FR" w:eastAsia="fr-FR" w:bidi="fr-FR"/>
    </w:rPr>
  </w:style>
  <w:style w:type="character" w:customStyle="1" w:styleId="En-tteoupieddepage2Espacement0pt">
    <w:name w:val="En-tête ou pied de page (2) + Espacement 0 pt"/>
    <w:basedOn w:val="Policepardfaut"/>
    <w:rsid w:val="00E64A4B"/>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Corpsdutexte5Italique">
    <w:name w:val="Corps du texte (5) + Italique"/>
    <w:basedOn w:val="Corpsdutexte5"/>
    <w:rsid w:val="00E64A4B"/>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4NonItalique">
    <w:name w:val="Corps du texte (4) + Non Italique"/>
    <w:basedOn w:val="Corpsdutexte4"/>
    <w:rsid w:val="00E64A4B"/>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En-tteoupieddepage3">
    <w:name w:val="En-tête ou pied de page (3)_"/>
    <w:basedOn w:val="Policepardfaut"/>
    <w:link w:val="En-tteoupieddepage30"/>
    <w:rsid w:val="00E64A4B"/>
    <w:rPr>
      <w:rFonts w:ascii="Times New Roman" w:eastAsia="Times New Roman" w:hAnsi="Times New Roman"/>
      <w:sz w:val="28"/>
      <w:szCs w:val="28"/>
      <w:shd w:val="clear" w:color="auto" w:fill="FFFFFF"/>
    </w:rPr>
  </w:style>
  <w:style w:type="character" w:customStyle="1" w:styleId="Corpsdutexte2Petitesmajuscules">
    <w:name w:val="Corps du texte (2) + Petites majuscules"/>
    <w:basedOn w:val="Corpsdutexte2"/>
    <w:rsid w:val="00E64A4B"/>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fr-FR" w:eastAsia="fr-FR" w:bidi="fr-FR"/>
    </w:rPr>
  </w:style>
  <w:style w:type="character" w:customStyle="1" w:styleId="Corpsdutexte12NonGras">
    <w:name w:val="Corps du texte (12) + Non Gras"/>
    <w:basedOn w:val="Corpsdutexte12"/>
    <w:rsid w:val="00E64A4B"/>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fr-FR" w:eastAsia="fr-FR" w:bidi="fr-FR"/>
    </w:rPr>
  </w:style>
  <w:style w:type="character" w:customStyle="1" w:styleId="Corpsdutexte511pt">
    <w:name w:val="Corps du texte (5) + 11 pt"/>
    <w:basedOn w:val="Corpsdutexte5"/>
    <w:rsid w:val="00E64A4B"/>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310ptGrasNonItaliqueEspacement0pt">
    <w:name w:val="Corps du texte (3) + 10 pt;Gras;Non Italique;Espacement 0 pt"/>
    <w:basedOn w:val="Corpsdutexte3"/>
    <w:rsid w:val="00E64A4B"/>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395ptGrasEspacement1pt">
    <w:name w:val="Corps du texte (3) + 9.5 pt;Gras;Espacement 1 pt"/>
    <w:basedOn w:val="Corpsdutexte3"/>
    <w:rsid w:val="00E64A4B"/>
    <w:rPr>
      <w:rFonts w:ascii="Times New Roman" w:eastAsia="Times New Roman" w:hAnsi="Times New Roman" w:cs="Times New Roman"/>
      <w:b/>
      <w:bCs/>
      <w:i/>
      <w:iCs/>
      <w:smallCaps w:val="0"/>
      <w:strike w:val="0"/>
      <w:color w:val="000000"/>
      <w:spacing w:val="20"/>
      <w:w w:val="100"/>
      <w:position w:val="0"/>
      <w:sz w:val="19"/>
      <w:szCs w:val="19"/>
      <w:u w:val="none"/>
      <w:shd w:val="clear" w:color="auto" w:fill="FFFFFF"/>
      <w:lang w:val="fr-FR" w:eastAsia="fr-FR" w:bidi="fr-FR"/>
    </w:rPr>
  </w:style>
  <w:style w:type="character" w:customStyle="1" w:styleId="Corpsdutexte3Exact">
    <w:name w:val="Corps du texte (3) Exact"/>
    <w:basedOn w:val="Policepardfaut"/>
    <w:rsid w:val="00E64A4B"/>
    <w:rPr>
      <w:rFonts w:ascii="Times New Roman" w:eastAsia="Times New Roman" w:hAnsi="Times New Roman" w:cs="Times New Roman"/>
      <w:b w:val="0"/>
      <w:bCs w:val="0"/>
      <w:i/>
      <w:iCs/>
      <w:smallCaps w:val="0"/>
      <w:strike w:val="0"/>
      <w:spacing w:val="10"/>
      <w:sz w:val="16"/>
      <w:szCs w:val="16"/>
      <w:u w:val="none"/>
    </w:rPr>
  </w:style>
  <w:style w:type="character" w:customStyle="1" w:styleId="LgendedutableauExact">
    <w:name w:val="Légende du tableau Exact"/>
    <w:basedOn w:val="Policepardfaut"/>
    <w:rsid w:val="00E64A4B"/>
    <w:rPr>
      <w:rFonts w:ascii="Times New Roman" w:eastAsia="Times New Roman" w:hAnsi="Times New Roman" w:cs="Times New Roman"/>
      <w:b w:val="0"/>
      <w:bCs w:val="0"/>
      <w:i w:val="0"/>
      <w:iCs w:val="0"/>
      <w:smallCaps w:val="0"/>
      <w:strike w:val="0"/>
      <w:sz w:val="17"/>
      <w:szCs w:val="17"/>
      <w:u w:val="none"/>
    </w:rPr>
  </w:style>
  <w:style w:type="character" w:customStyle="1" w:styleId="Corpsdutexte118ptItaliqueEspacement0pt">
    <w:name w:val="Corps du texte (11) + 8 pt;Italique;Espacement 0 pt"/>
    <w:basedOn w:val="Corpsdutexte11"/>
    <w:rsid w:val="00E64A4B"/>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18pt">
    <w:name w:val="Corps du texte (11) + 8 pt"/>
    <w:basedOn w:val="Corpsdutexte11"/>
    <w:rsid w:val="00E64A4B"/>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15Italique">
    <w:name w:val="Corps du texte (15) + Italique"/>
    <w:basedOn w:val="Corpsdutexte15"/>
    <w:rsid w:val="00E64A4B"/>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511ptItalique">
    <w:name w:val="Corps du texte (5) + 11 pt;Italique"/>
    <w:basedOn w:val="Corpsdutexte5"/>
    <w:rsid w:val="00E64A4B"/>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59ptGras">
    <w:name w:val="Corps du texte (5) + 9 pt;Gras"/>
    <w:basedOn w:val="Corpsdutexte5"/>
    <w:rsid w:val="00E64A4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fr-FR" w:eastAsia="fr-FR" w:bidi="fr-FR"/>
    </w:rPr>
  </w:style>
  <w:style w:type="character" w:customStyle="1" w:styleId="Corpsdutexte575ptGras">
    <w:name w:val="Corps du texte (5) + 7.5 pt;Gras"/>
    <w:basedOn w:val="Corpsdutexte5"/>
    <w:rsid w:val="00E64A4B"/>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585ptGrasItalique">
    <w:name w:val="Corps du texte (5) + 8.5 pt;Gras;Italique"/>
    <w:basedOn w:val="Corpsdutexte5"/>
    <w:rsid w:val="00E64A4B"/>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585pt">
    <w:name w:val="Corps du texte (5) + 8.5 pt"/>
    <w:basedOn w:val="Corpsdutexte5"/>
    <w:rsid w:val="00E64A4B"/>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paragraph" w:customStyle="1" w:styleId="En-tteoupieddepage30">
    <w:name w:val="En-tête ou pied de page (3)"/>
    <w:basedOn w:val="Normal"/>
    <w:link w:val="En-tteoupieddepage3"/>
    <w:rsid w:val="00E64A4B"/>
    <w:pPr>
      <w:widowControl w:val="0"/>
      <w:shd w:val="clear" w:color="auto" w:fill="FFFFFF"/>
      <w:spacing w:line="0" w:lineRule="atLeast"/>
      <w:ind w:firstLine="101"/>
      <w:jc w:val="both"/>
    </w:pPr>
    <w:rPr>
      <w:szCs w:val="28"/>
      <w:lang w:val="fr-FR" w:eastAsia="fr-FR"/>
    </w:rPr>
  </w:style>
  <w:style w:type="paragraph" w:customStyle="1" w:styleId="auteurst">
    <w:name w:val="auteur st"/>
    <w:basedOn w:val="Normal"/>
    <w:autoRedefine/>
    <w:rsid w:val="00C57CFF"/>
    <w:pPr>
      <w:spacing w:before="120"/>
      <w:ind w:firstLine="0"/>
      <w:jc w:val="center"/>
    </w:pPr>
    <w:rPr>
      <w:sz w:val="24"/>
    </w:rPr>
  </w:style>
  <w:style w:type="character" w:customStyle="1" w:styleId="Notedebasdepage2">
    <w:name w:val="Note de bas de page (2)_"/>
    <w:basedOn w:val="Policepardfaut"/>
    <w:link w:val="Notedebasdepage20"/>
    <w:rsid w:val="00AF5580"/>
    <w:rPr>
      <w:rFonts w:ascii="Times New Roman" w:eastAsia="Times New Roman" w:hAnsi="Times New Roman"/>
      <w:sz w:val="22"/>
      <w:szCs w:val="22"/>
      <w:shd w:val="clear" w:color="auto" w:fill="FFFFFF"/>
    </w:rPr>
  </w:style>
  <w:style w:type="character" w:customStyle="1" w:styleId="Notedebasdepage2Italique">
    <w:name w:val="Note de bas de page (2) + Italique"/>
    <w:basedOn w:val="Notedebasdepage2"/>
    <w:rsid w:val="00AF5580"/>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En-tte1NonGras">
    <w:name w:val="En-tête #1 + Non Gras"/>
    <w:basedOn w:val="En-tte1"/>
    <w:rsid w:val="00AF5580"/>
    <w:rPr>
      <w:rFonts w:ascii="Times New Roman" w:eastAsia="Times New Roman" w:hAnsi="Times New Roman" w:cs="Times New Roman"/>
      <w:b/>
      <w:bCs/>
      <w:i/>
      <w:iCs/>
      <w:smallCaps w:val="0"/>
      <w:strike w:val="0"/>
      <w:color w:val="000000"/>
      <w:spacing w:val="0"/>
      <w:w w:val="100"/>
      <w:position w:val="0"/>
      <w:sz w:val="38"/>
      <w:szCs w:val="38"/>
      <w:u w:val="none"/>
      <w:shd w:val="clear" w:color="auto" w:fill="FFFFFF"/>
      <w:lang w:val="fr-FR" w:eastAsia="fr-FR" w:bidi="fr-FR"/>
    </w:rPr>
  </w:style>
  <w:style w:type="character" w:customStyle="1" w:styleId="Corpsdutexte7Italique">
    <w:name w:val="Corps du texte (7) + Italique"/>
    <w:basedOn w:val="Corpsdutexte7"/>
    <w:rsid w:val="00AF5580"/>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78ptItaliqueEspacement0pt">
    <w:name w:val="Corps du texte (7) + 8 pt;Italique;Espacement 0 pt"/>
    <w:basedOn w:val="Corpsdutexte7"/>
    <w:rsid w:val="00AF5580"/>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78pt">
    <w:name w:val="Corps du texte (7) + 8 pt"/>
    <w:basedOn w:val="Corpsdutexte7"/>
    <w:rsid w:val="00AF5580"/>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8NonItalique">
    <w:name w:val="Corps du texte (8) + Non Italique"/>
    <w:basedOn w:val="Corpsdutexte8"/>
    <w:rsid w:val="00AF5580"/>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9Espacement1pt">
    <w:name w:val="Corps du texte (9) + Espacement 1 pt"/>
    <w:basedOn w:val="Corpsdutexte9"/>
    <w:rsid w:val="00AF5580"/>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Corpsdutexte2ItaliqueEspacement1pt">
    <w:name w:val="Corps du texte (2) + Italique;Espacement 1 pt"/>
    <w:basedOn w:val="Corpsdutexte2"/>
    <w:rsid w:val="00AF5580"/>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En-tte152ptNonGrasNonItalique">
    <w:name w:val="En-tête #1 + 52 pt;Non Gras;Non Italique"/>
    <w:basedOn w:val="En-tte1"/>
    <w:rsid w:val="00AF5580"/>
    <w:rPr>
      <w:rFonts w:ascii="Times New Roman" w:eastAsia="Times New Roman" w:hAnsi="Times New Roman" w:cs="Times New Roman"/>
      <w:b/>
      <w:bCs/>
      <w:i/>
      <w:iCs/>
      <w:smallCaps w:val="0"/>
      <w:strike w:val="0"/>
      <w:color w:val="000000"/>
      <w:spacing w:val="0"/>
      <w:w w:val="100"/>
      <w:position w:val="0"/>
      <w:sz w:val="104"/>
      <w:szCs w:val="104"/>
      <w:u w:val="none"/>
      <w:shd w:val="clear" w:color="auto" w:fill="FFFFFF"/>
      <w:lang w:val="fr-FR" w:eastAsia="fr-FR" w:bidi="fr-FR"/>
    </w:rPr>
  </w:style>
  <w:style w:type="character" w:customStyle="1" w:styleId="En-tteoupieddepage4ptNonItaliqueEspacement0pt">
    <w:name w:val="En-tête ou pied de page + 4 pt;Non Italique;Espacement 0 pt"/>
    <w:basedOn w:val="En-tteoupieddepage"/>
    <w:rsid w:val="00AF5580"/>
    <w:rPr>
      <w:rFonts w:ascii="Times New Roman" w:eastAsia="Times New Roman" w:hAnsi="Times New Roman" w:cs="Times New Roman"/>
      <w:b w:val="0"/>
      <w:bCs w:val="0"/>
      <w:i w:val="0"/>
      <w:iCs w:val="0"/>
      <w:smallCaps w:val="0"/>
      <w:strike w:val="0"/>
      <w:color w:val="000000"/>
      <w:spacing w:val="0"/>
      <w:w w:val="100"/>
      <w:position w:val="0"/>
      <w:sz w:val="8"/>
      <w:szCs w:val="8"/>
      <w:u w:val="none"/>
      <w:lang w:val="fr-FR" w:eastAsia="fr-FR" w:bidi="fr-FR"/>
    </w:rPr>
  </w:style>
  <w:style w:type="character" w:customStyle="1" w:styleId="En-tteoupieddepage14ptNonItaliqueEspacement0pt">
    <w:name w:val="En-tête ou pied de page + 14 pt;Non Italique;Espacement 0 pt"/>
    <w:basedOn w:val="En-tteoupieddepage"/>
    <w:rsid w:val="00AF558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character" w:customStyle="1" w:styleId="Corpsdutexte16Petitesmajuscules">
    <w:name w:val="Corps du texte (16) + Petites majuscules"/>
    <w:basedOn w:val="Corpsdutexte16"/>
    <w:rsid w:val="00AF5580"/>
    <w:rPr>
      <w:rFonts w:ascii="Times New Roman" w:eastAsia="Times New Roman" w:hAnsi="Times New Roman" w:cs="Times New Roman"/>
      <w:b/>
      <w:bCs/>
      <w:i/>
      <w:iCs/>
      <w:smallCaps/>
      <w:strike w:val="0"/>
      <w:color w:val="000000"/>
      <w:spacing w:val="0"/>
      <w:w w:val="100"/>
      <w:position w:val="0"/>
      <w:sz w:val="38"/>
      <w:szCs w:val="38"/>
      <w:u w:val="none"/>
      <w:shd w:val="clear" w:color="auto" w:fill="FFFFFF"/>
      <w:lang w:val="fr-FR" w:eastAsia="fr-FR" w:bidi="fr-FR"/>
    </w:rPr>
  </w:style>
  <w:style w:type="character" w:customStyle="1" w:styleId="Corpsdutexte17Espacement0pt">
    <w:name w:val="Corps du texte (17) + Espacement 0 pt"/>
    <w:basedOn w:val="Corpsdutexte17"/>
    <w:rsid w:val="00AF5580"/>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fr-FR" w:eastAsia="fr-FR" w:bidi="fr-FR"/>
    </w:rPr>
  </w:style>
  <w:style w:type="paragraph" w:customStyle="1" w:styleId="Notedebasdepage20">
    <w:name w:val="Note de bas de page (2)"/>
    <w:basedOn w:val="Normal"/>
    <w:link w:val="Notedebasdepage2"/>
    <w:rsid w:val="00AF5580"/>
    <w:pPr>
      <w:widowControl w:val="0"/>
      <w:shd w:val="clear" w:color="auto" w:fill="FFFFFF"/>
      <w:spacing w:line="240" w:lineRule="exact"/>
      <w:ind w:firstLine="722"/>
      <w:jc w:val="both"/>
    </w:pPr>
    <w:rPr>
      <w:sz w:val="22"/>
      <w:szCs w:val="22"/>
      <w:lang w:val="fr-FR" w:eastAsia="fr-FR"/>
    </w:rPr>
  </w:style>
  <w:style w:type="character" w:customStyle="1" w:styleId="Corpsdutexte517ptNonItaliqueEspacement0pt">
    <w:name w:val="Corps du texte (5) + 17 pt;Non Italique;Espacement 0 pt"/>
    <w:basedOn w:val="Corpsdutexte5"/>
    <w:rsid w:val="00B84DC7"/>
    <w:rPr>
      <w:rFonts w:ascii="Times New Roman" w:eastAsia="Times New Roman" w:hAnsi="Times New Roman" w:cs="Times New Roman"/>
      <w:b/>
      <w:bCs/>
      <w:i/>
      <w:iCs/>
      <w:smallCaps w:val="0"/>
      <w:strike w:val="0"/>
      <w:color w:val="000000"/>
      <w:spacing w:val="0"/>
      <w:w w:val="100"/>
      <w:position w:val="0"/>
      <w:sz w:val="34"/>
      <w:szCs w:val="34"/>
      <w:u w:val="none"/>
      <w:shd w:val="clear" w:color="auto" w:fill="FFFFFF"/>
      <w:lang w:val="fr-FR" w:eastAsia="fr-FR" w:bidi="fr-FR"/>
    </w:rPr>
  </w:style>
  <w:style w:type="character" w:customStyle="1" w:styleId="Corpsdutexte6Exact">
    <w:name w:val="Corps du texte (6) Exact"/>
    <w:basedOn w:val="Policepardfaut"/>
    <w:rsid w:val="00B84DC7"/>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7Gras">
    <w:name w:val="Corps du texte (7) + Gras"/>
    <w:basedOn w:val="Corpsdutexte7"/>
    <w:rsid w:val="00B84DC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10Italique">
    <w:name w:val="Corps du texte (10) + Italique"/>
    <w:basedOn w:val="Corpsdutexte10"/>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115ptNonGrasEspacement0pt">
    <w:name w:val="Corps du texte (11) + 5 pt;Non Gras;Espacement 0 pt"/>
    <w:basedOn w:val="Corpsdutexte11"/>
    <w:rsid w:val="00B84DC7"/>
    <w:rPr>
      <w:rFonts w:ascii="Times New Roman" w:eastAsia="Times New Roman" w:hAnsi="Times New Roman" w:cs="Times New Roman"/>
      <w:b/>
      <w:bCs/>
      <w:i/>
      <w:iCs/>
      <w:smallCaps w:val="0"/>
      <w:strike w:val="0"/>
      <w:color w:val="000000"/>
      <w:spacing w:val="0"/>
      <w:w w:val="100"/>
      <w:position w:val="0"/>
      <w:sz w:val="10"/>
      <w:szCs w:val="10"/>
      <w:u w:val="none"/>
      <w:shd w:val="clear" w:color="auto" w:fill="FFFFFF"/>
      <w:lang w:val="fr-FR" w:eastAsia="fr-FR" w:bidi="fr-FR"/>
    </w:rPr>
  </w:style>
  <w:style w:type="character" w:customStyle="1" w:styleId="Corpsdutexte12NonItalique">
    <w:name w:val="Corps du texte (12) + Non Italique"/>
    <w:basedOn w:val="Corpsdutexte12"/>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75ptGras">
    <w:name w:val="Corps du texte (2) + 7.5 pt;Gras"/>
    <w:basedOn w:val="Corpsdutexte2"/>
    <w:rsid w:val="00B84DC7"/>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227ptGrasItaliqueEspacement0ptchelle66">
    <w:name w:val="Corps du texte (2) + 27 pt;Gras;Italique;Espacement 0 pt;Échelle 66%"/>
    <w:basedOn w:val="Corpsdutexte2"/>
    <w:rsid w:val="00B84DC7"/>
    <w:rPr>
      <w:rFonts w:ascii="Times New Roman" w:eastAsia="Times New Roman" w:hAnsi="Times New Roman" w:cs="Times New Roman"/>
      <w:b/>
      <w:bCs/>
      <w:i/>
      <w:iCs/>
      <w:smallCaps w:val="0"/>
      <w:strike w:val="0"/>
      <w:color w:val="000000"/>
      <w:spacing w:val="-10"/>
      <w:w w:val="66"/>
      <w:position w:val="0"/>
      <w:sz w:val="54"/>
      <w:szCs w:val="54"/>
      <w:u w:val="none"/>
      <w:shd w:val="clear" w:color="auto" w:fill="FFFFFF"/>
      <w:lang w:val="fr-FR" w:eastAsia="fr-FR" w:bidi="fr-FR"/>
    </w:rPr>
  </w:style>
  <w:style w:type="character" w:customStyle="1" w:styleId="Corpsdutexte227pt">
    <w:name w:val="Corps du texte (2) + 27 pt"/>
    <w:basedOn w:val="Corpsdutexte2"/>
    <w:rsid w:val="00B84DC7"/>
    <w:rPr>
      <w:rFonts w:ascii="Times New Roman" w:eastAsia="Times New Roman" w:hAnsi="Times New Roman" w:cs="Times New Roman"/>
      <w:b w:val="0"/>
      <w:bCs w:val="0"/>
      <w:i w:val="0"/>
      <w:iCs w:val="0"/>
      <w:smallCaps w:val="0"/>
      <w:strike w:val="0"/>
      <w:color w:val="000000"/>
      <w:spacing w:val="0"/>
      <w:w w:val="100"/>
      <w:position w:val="0"/>
      <w:sz w:val="54"/>
      <w:szCs w:val="54"/>
      <w:u w:val="none"/>
      <w:shd w:val="clear" w:color="auto" w:fill="FFFFFF"/>
      <w:lang w:val="fr-FR" w:eastAsia="fr-FR" w:bidi="fr-FR"/>
    </w:rPr>
  </w:style>
  <w:style w:type="character" w:customStyle="1" w:styleId="En-tteoupieddepageNonItalique">
    <w:name w:val="En-tête ou pied de page + Non Italique"/>
    <w:basedOn w:val="En-tteoupieddepage"/>
    <w:rsid w:val="00B84DC7"/>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Corpsdutexte6NonItaliqueEspacement0pt">
    <w:name w:val="Corps du texte (6) + Non Italique;Espacement 0 pt"/>
    <w:basedOn w:val="Corpsdutexte60"/>
    <w:rsid w:val="00B84DC7"/>
    <w:rPr>
      <w:rFonts w:ascii="Times New Roman" w:eastAsia="Times New Roman" w:hAnsi="Times New Roman" w:cs="Times New Roman"/>
      <w:b w:val="0"/>
      <w:bCs w:val="0"/>
      <w:i/>
      <w:iCs/>
      <w:smallCaps w:val="0"/>
      <w:strike w:val="0"/>
      <w:color w:val="000000"/>
      <w:spacing w:val="0"/>
      <w:w w:val="100"/>
      <w:position w:val="0"/>
      <w:sz w:val="16"/>
      <w:szCs w:val="16"/>
      <w:u w:val="none"/>
      <w:lang w:val="uz-Cyrl-UZ"/>
    </w:rPr>
  </w:style>
  <w:style w:type="character" w:customStyle="1" w:styleId="En-tteoupieddepage4">
    <w:name w:val="En-tête ou pied de page (4)"/>
    <w:basedOn w:val="Policepardfaut"/>
    <w:rsid w:val="00B84DC7"/>
    <w:rPr>
      <w:rFonts w:ascii="Times New Roman" w:eastAsia="Times New Roman" w:hAnsi="Times New Roman" w:cs="Times New Roman"/>
      <w:b w:val="0"/>
      <w:bCs w:val="0"/>
      <w:i/>
      <w:iCs/>
      <w:smallCaps w:val="0"/>
      <w:strike w:val="0"/>
      <w:sz w:val="15"/>
      <w:szCs w:val="15"/>
      <w:u w:val="none"/>
    </w:rPr>
  </w:style>
  <w:style w:type="character" w:customStyle="1" w:styleId="Corpsdutexte108ptItaliqueEspacement0pt">
    <w:name w:val="Corps du texte (10) + 8 pt;Italique;Espacement 0 pt"/>
    <w:basedOn w:val="Corpsdutexte10"/>
    <w:rsid w:val="00B84DC7"/>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075ptGras">
    <w:name w:val="Corps du texte (10) + 7.5 pt;Gras"/>
    <w:basedOn w:val="Corpsdutexte10"/>
    <w:rsid w:val="00B84DC7"/>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67ptGrasNonItaliqueEspacement0pt">
    <w:name w:val="Corps du texte (6) + 7 pt;Gras;Non Italique;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4"/>
      <w:szCs w:val="14"/>
      <w:u w:val="none"/>
      <w:lang w:val="fr-FR" w:eastAsia="fr-FR" w:bidi="fr-FR"/>
    </w:rPr>
  </w:style>
  <w:style w:type="character" w:customStyle="1" w:styleId="Corpsdutexte675ptGrasNonItaliqueEspacement0pt">
    <w:name w:val="Corps du texte (6) + 7.5 pt;Gras;Non Italique;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5"/>
      <w:szCs w:val="15"/>
      <w:u w:val="none"/>
      <w:lang w:val="uz-Cyrl-UZ"/>
    </w:rPr>
  </w:style>
  <w:style w:type="character" w:customStyle="1" w:styleId="Corpsdutexte188ptNonGrasItaliqueEspacement0pt">
    <w:name w:val="Corps du texte (18) + 8 pt;Non Gras;Italique;Espacement 0 pt"/>
    <w:basedOn w:val="Corpsdutexte180"/>
    <w:rsid w:val="00B84DC7"/>
    <w:rPr>
      <w:rFonts w:ascii="Times New Roman" w:eastAsia="Times New Roman" w:hAnsi="Times New Roman" w:cs="Times New Roman"/>
      <w:b/>
      <w:bCs/>
      <w:i w:val="0"/>
      <w:iCs w:val="0"/>
      <w:smallCaps w:val="0"/>
      <w:strike w:val="0"/>
      <w:color w:val="000000"/>
      <w:spacing w:val="10"/>
      <w:w w:val="100"/>
      <w:position w:val="0"/>
      <w:sz w:val="16"/>
      <w:szCs w:val="16"/>
      <w:u w:val="none"/>
      <w:lang w:val="fr-FR" w:eastAsia="fr-FR" w:bidi="fr-FR"/>
    </w:rPr>
  </w:style>
  <w:style w:type="character" w:customStyle="1" w:styleId="NotedebasdepageExact">
    <w:name w:val="Note de bas de page Exact"/>
    <w:basedOn w:val="Policepardfaut"/>
    <w:rsid w:val="00B84DC7"/>
    <w:rPr>
      <w:rFonts w:ascii="Times New Roman" w:eastAsia="Times New Roman" w:hAnsi="Times New Roman" w:cs="Times New Roman"/>
      <w:b w:val="0"/>
      <w:bCs w:val="0"/>
      <w:i w:val="0"/>
      <w:iCs w:val="0"/>
      <w:smallCaps w:val="0"/>
      <w:strike w:val="0"/>
      <w:sz w:val="22"/>
      <w:szCs w:val="22"/>
      <w:u w:val="none"/>
    </w:rPr>
  </w:style>
  <w:style w:type="character" w:customStyle="1" w:styleId="Corpsdutexte88ptEspacement0pt">
    <w:name w:val="Corps du texte (8) + 8 pt;Espacement 0 pt"/>
    <w:basedOn w:val="Corpsdutexte8"/>
    <w:rsid w:val="00B84DC7"/>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011pt">
    <w:name w:val="Corps du texte (10) + 11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270">
    <w:name w:val="Corps du texte (27)_"/>
    <w:basedOn w:val="Policepardfaut"/>
    <w:rsid w:val="00B84DC7"/>
    <w:rPr>
      <w:rFonts w:ascii="AppleGothic" w:eastAsia="AppleGothic" w:hAnsi="AppleGothic" w:cs="AppleGothic"/>
      <w:b w:val="0"/>
      <w:bCs w:val="0"/>
      <w:i/>
      <w:iCs/>
      <w:smallCaps w:val="0"/>
      <w:strike w:val="0"/>
      <w:spacing w:val="20"/>
      <w:w w:val="75"/>
      <w:sz w:val="26"/>
      <w:szCs w:val="26"/>
      <w:u w:val="none"/>
    </w:rPr>
  </w:style>
  <w:style w:type="character" w:customStyle="1" w:styleId="Corpsdutexte675ptGrasEspacement0pt">
    <w:name w:val="Corps du texte (6) + 7.5 pt;Gras;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5"/>
      <w:szCs w:val="15"/>
      <w:u w:val="none"/>
      <w:lang w:val="fr-FR" w:eastAsia="fr-FR" w:bidi="fr-FR"/>
    </w:rPr>
  </w:style>
  <w:style w:type="character" w:customStyle="1" w:styleId="Corpsdutexte1075ptGrasItalique">
    <w:name w:val="Corps du texte (10) + 7.5 pt;Gras;Italique"/>
    <w:basedOn w:val="Corpsdutexte10"/>
    <w:rsid w:val="00B84DC7"/>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1085pt">
    <w:name w:val="Corps du texte (10) + 8.5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2895ptNonItalique">
    <w:name w:val="Corps du texte (28) + 9.5 pt;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885ptGrasNonItalique">
    <w:name w:val="Corps du texte (28) + 8.5 pt;Gras;Non Italique"/>
    <w:basedOn w:val="Corpsdutexte28"/>
    <w:rsid w:val="00B84DC7"/>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075ptItalique">
    <w:name w:val="Corps du texte (10) + 7.5 pt;Italique"/>
    <w:basedOn w:val="Corpsdutexte10"/>
    <w:rsid w:val="00B84DC7"/>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1085ptGras">
    <w:name w:val="Corps du texte (10) + 8.5 pt;Gras"/>
    <w:basedOn w:val="Corpsdutexte10"/>
    <w:rsid w:val="00B84DC7"/>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1010pt">
    <w:name w:val="Corps du texte (10) + 10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300">
    <w:name w:val="Corps du texte (30)_"/>
    <w:basedOn w:val="Policepardfaut"/>
    <w:link w:val="Corpsdutexte301"/>
    <w:rsid w:val="00B84DC7"/>
    <w:rPr>
      <w:rFonts w:ascii="Times New Roman" w:eastAsia="Times New Roman" w:hAnsi="Times New Roman"/>
      <w:b/>
      <w:bCs/>
      <w:i/>
      <w:iCs/>
      <w:sz w:val="24"/>
      <w:szCs w:val="24"/>
      <w:shd w:val="clear" w:color="auto" w:fill="FFFFFF"/>
    </w:rPr>
  </w:style>
  <w:style w:type="character" w:customStyle="1" w:styleId="En-tteoupieddepage11ptGrasNonItalique">
    <w:name w:val="En-tête ou pied de page + 11 pt;Gras;Non Italique"/>
    <w:basedOn w:val="En-tteoupieddepage"/>
    <w:rsid w:val="00B84DC7"/>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character" w:customStyle="1" w:styleId="Corpsdutexte3295ptNonGrasPetitesmajuscules">
    <w:name w:val="Corps du texte (32) + 9.5 pt;Non Gras;Petites majuscules"/>
    <w:basedOn w:val="Corpsdutexte32"/>
    <w:rsid w:val="00B84DC7"/>
    <w:rPr>
      <w:rFonts w:ascii="Times New Roman" w:eastAsia="Times New Roman" w:hAnsi="Times New Roman" w:cs="Times New Roman"/>
      <w:b/>
      <w:bCs/>
      <w:i w:val="0"/>
      <w:iCs w:val="0"/>
      <w:smallCaps/>
      <w:strike w:val="0"/>
      <w:color w:val="000000"/>
      <w:spacing w:val="0"/>
      <w:w w:val="100"/>
      <w:position w:val="0"/>
      <w:sz w:val="19"/>
      <w:szCs w:val="19"/>
      <w:u w:val="none"/>
      <w:shd w:val="clear" w:color="auto" w:fill="FFFFFF"/>
      <w:lang w:val="fr-FR" w:eastAsia="fr-FR" w:bidi="fr-FR"/>
    </w:rPr>
  </w:style>
  <w:style w:type="character" w:customStyle="1" w:styleId="Corpsdutexte1395pt">
    <w:name w:val="Corps du texte (13) + 9.5 pt"/>
    <w:basedOn w:val="Corpsdutexte13"/>
    <w:rsid w:val="00B84DC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Corpsdutexte1395ptPetitesmajuscules">
    <w:name w:val="Corps du texte (13) + 9.5 pt;Petites majuscules"/>
    <w:basedOn w:val="Corpsdutexte13"/>
    <w:rsid w:val="00B84DC7"/>
    <w:rPr>
      <w:rFonts w:ascii="Times New Roman" w:eastAsia="Times New Roman" w:hAnsi="Times New Roman" w:cs="Times New Roman"/>
      <w:b w:val="0"/>
      <w:bCs w:val="0"/>
      <w:i w:val="0"/>
      <w:iCs w:val="0"/>
      <w:smallCaps/>
      <w:strike w:val="0"/>
      <w:color w:val="000000"/>
      <w:spacing w:val="0"/>
      <w:w w:val="100"/>
      <w:position w:val="0"/>
      <w:sz w:val="19"/>
      <w:szCs w:val="19"/>
      <w:u w:val="none"/>
      <w:lang w:val="fr-FR" w:eastAsia="fr-FR" w:bidi="fr-FR"/>
    </w:rPr>
  </w:style>
  <w:style w:type="character" w:customStyle="1" w:styleId="Corpsdutexte13Gras">
    <w:name w:val="Corps du texte (13) + Gras"/>
    <w:basedOn w:val="Corpsdutexte13"/>
    <w:rsid w:val="00B84DC7"/>
    <w:rPr>
      <w:rFonts w:ascii="Times New Roman" w:eastAsia="Times New Roman" w:hAnsi="Times New Roman" w:cs="Times New Roman"/>
      <w:b/>
      <w:bCs/>
      <w:i w:val="0"/>
      <w:iCs w:val="0"/>
      <w:smallCaps w:val="0"/>
      <w:strike w:val="0"/>
      <w:color w:val="000000"/>
      <w:spacing w:val="0"/>
      <w:w w:val="100"/>
      <w:position w:val="0"/>
      <w:sz w:val="17"/>
      <w:szCs w:val="17"/>
      <w:u w:val="none"/>
      <w:lang w:val="fr-FR" w:eastAsia="fr-FR" w:bidi="fr-FR"/>
    </w:rPr>
  </w:style>
  <w:style w:type="character" w:customStyle="1" w:styleId="Corpsdutexte33Petitesmajuscules">
    <w:name w:val="Corps du texte (33) + Petites majuscules"/>
    <w:basedOn w:val="Corpsdutexte33"/>
    <w:rsid w:val="00B84DC7"/>
    <w:rPr>
      <w:rFonts w:ascii="Times New Roman" w:eastAsia="Times New Roman" w:hAnsi="Times New Roman" w:cs="Times New Roman"/>
      <w:b w:val="0"/>
      <w:bCs w:val="0"/>
      <w:i w:val="0"/>
      <w:iCs w:val="0"/>
      <w:smallCaps/>
      <w:strike w:val="0"/>
      <w:color w:val="000000"/>
      <w:spacing w:val="0"/>
      <w:w w:val="100"/>
      <w:position w:val="0"/>
      <w:sz w:val="19"/>
      <w:szCs w:val="19"/>
      <w:u w:val="none"/>
      <w:shd w:val="clear" w:color="auto" w:fill="FFFFFF"/>
      <w:lang w:val="fr-FR" w:eastAsia="fr-FR" w:bidi="fr-FR"/>
    </w:rPr>
  </w:style>
  <w:style w:type="character" w:customStyle="1" w:styleId="Corpsdutexte3385pt">
    <w:name w:val="Corps du texte (33) + 8.5 pt"/>
    <w:basedOn w:val="Corpsdutexte33"/>
    <w:rsid w:val="00B84DC7"/>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3295ptNonGras">
    <w:name w:val="Corps du texte (32) + 9.5 pt;Non Gras"/>
    <w:basedOn w:val="Corpsdutexte32"/>
    <w:rsid w:val="00B84DC7"/>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fr-FR" w:eastAsia="fr-FR" w:bidi="fr-FR"/>
    </w:rPr>
  </w:style>
  <w:style w:type="character" w:customStyle="1" w:styleId="Corpsdutexte1375ptItalique">
    <w:name w:val="Corps du texte (13) + 7.5 pt;Italique"/>
    <w:basedOn w:val="Corpsdutexte13"/>
    <w:rsid w:val="00B84DC7"/>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Corpsdutexte1375ptGrasItalique">
    <w:name w:val="Corps du texte (13) + 7.5 pt;Gras;Italique"/>
    <w:basedOn w:val="Corpsdutexte13"/>
    <w:rsid w:val="00B84DC7"/>
    <w:rPr>
      <w:rFonts w:ascii="Times New Roman" w:eastAsia="Times New Roman" w:hAnsi="Times New Roman" w:cs="Times New Roman"/>
      <w:b/>
      <w:bCs/>
      <w:i w:val="0"/>
      <w:iCs w:val="0"/>
      <w:smallCaps w:val="0"/>
      <w:strike w:val="0"/>
      <w:color w:val="000000"/>
      <w:spacing w:val="0"/>
      <w:w w:val="100"/>
      <w:position w:val="0"/>
      <w:sz w:val="15"/>
      <w:szCs w:val="15"/>
      <w:u w:val="none"/>
      <w:lang w:val="fr-FR" w:eastAsia="fr-FR" w:bidi="fr-FR"/>
    </w:rPr>
  </w:style>
  <w:style w:type="character" w:customStyle="1" w:styleId="Corpsdutexte2885ptNonItalique">
    <w:name w:val="Corps du texte (28) + 8.5 pt;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375ptItaliqueEspacement1pt">
    <w:name w:val="Corps du texte (13) + 7.5 pt;Italique;Espacement 1 pt"/>
    <w:basedOn w:val="Corpsdutexte13"/>
    <w:rsid w:val="00B84DC7"/>
    <w:rPr>
      <w:rFonts w:ascii="Times New Roman" w:eastAsia="Times New Roman" w:hAnsi="Times New Roman" w:cs="Times New Roman"/>
      <w:b w:val="0"/>
      <w:bCs w:val="0"/>
      <w:i w:val="0"/>
      <w:iCs w:val="0"/>
      <w:smallCaps w:val="0"/>
      <w:strike w:val="0"/>
      <w:color w:val="000000"/>
      <w:spacing w:val="20"/>
      <w:w w:val="100"/>
      <w:position w:val="0"/>
      <w:sz w:val="15"/>
      <w:szCs w:val="15"/>
      <w:u w:val="none"/>
      <w:lang w:val="fr-FR" w:eastAsia="fr-FR" w:bidi="fr-FR"/>
    </w:rPr>
  </w:style>
  <w:style w:type="character" w:customStyle="1" w:styleId="Corpsdutexte289ptGras">
    <w:name w:val="Corps du texte (28) + 9 pt;Gras"/>
    <w:basedOn w:val="Corpsdutexte28"/>
    <w:rsid w:val="00B84DC7"/>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2895pt">
    <w:name w:val="Corps du texte (28) + 9.5 pt"/>
    <w:basedOn w:val="Corpsdutexte28"/>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8Gras">
    <w:name w:val="Corps du texte (28) + Gras"/>
    <w:basedOn w:val="Corpsdutexte28"/>
    <w:rsid w:val="00B84DC7"/>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34">
    <w:name w:val="Corps du texte (34)_"/>
    <w:basedOn w:val="Policepardfaut"/>
    <w:link w:val="Corpsdutexte340"/>
    <w:rsid w:val="00B84DC7"/>
    <w:rPr>
      <w:rFonts w:ascii="Times New Roman" w:eastAsia="Times New Roman" w:hAnsi="Times New Roman"/>
      <w:b/>
      <w:bCs/>
      <w:i/>
      <w:iCs/>
      <w:sz w:val="15"/>
      <w:szCs w:val="15"/>
      <w:shd w:val="clear" w:color="auto" w:fill="FFFFFF"/>
    </w:rPr>
  </w:style>
  <w:style w:type="character" w:customStyle="1" w:styleId="Corpsdutexte3485ptNonGrasNonItalique">
    <w:name w:val="Corps du texte (34) + 8.5 pt;Non Gras;Non Italique"/>
    <w:basedOn w:val="Corpsdutexte34"/>
    <w:rsid w:val="00B84DC7"/>
    <w:rPr>
      <w:rFonts w:ascii="Times New Roman" w:eastAsia="Times New Roman" w:hAnsi="Times New Roman"/>
      <w:b w:val="0"/>
      <w:bCs w:val="0"/>
      <w:i w:val="0"/>
      <w:iCs w:val="0"/>
      <w:color w:val="000000"/>
      <w:spacing w:val="0"/>
      <w:w w:val="100"/>
      <w:position w:val="0"/>
      <w:sz w:val="17"/>
      <w:szCs w:val="17"/>
      <w:shd w:val="clear" w:color="auto" w:fill="FFFFFF"/>
      <w:lang w:val="fr-FR" w:eastAsia="fr-FR" w:bidi="fr-FR"/>
    </w:rPr>
  </w:style>
  <w:style w:type="character" w:customStyle="1" w:styleId="Corpsdutexte137ptGras">
    <w:name w:val="Corps du texte (13) + 7 pt;Gras"/>
    <w:basedOn w:val="Corpsdutexte13"/>
    <w:rsid w:val="00B84DC7"/>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Corpsdutexte139ptGrasEspacement0pt">
    <w:name w:val="Corps du texte (13) + 9 pt;Gras;Espacement 0 pt"/>
    <w:basedOn w:val="Corpsdutexte13"/>
    <w:rsid w:val="00B84DC7"/>
    <w:rPr>
      <w:rFonts w:ascii="Times New Roman" w:eastAsia="Times New Roman" w:hAnsi="Times New Roman" w:cs="Times New Roman"/>
      <w:b/>
      <w:bCs/>
      <w:i w:val="0"/>
      <w:iCs w:val="0"/>
      <w:smallCaps w:val="0"/>
      <w:strike w:val="0"/>
      <w:color w:val="000000"/>
      <w:spacing w:val="-10"/>
      <w:w w:val="100"/>
      <w:position w:val="0"/>
      <w:sz w:val="18"/>
      <w:szCs w:val="18"/>
      <w:u w:val="none"/>
      <w:lang w:val="fr-FR" w:eastAsia="fr-FR" w:bidi="fr-FR"/>
    </w:rPr>
  </w:style>
  <w:style w:type="character" w:customStyle="1" w:styleId="Corpsdutexte1355ptGrasItalique">
    <w:name w:val="Corps du texte (13) + 5.5 pt;Gras;Italique"/>
    <w:basedOn w:val="Corpsdutexte13"/>
    <w:rsid w:val="00B84DC7"/>
    <w:rPr>
      <w:rFonts w:ascii="Times New Roman" w:eastAsia="Times New Roman" w:hAnsi="Times New Roman" w:cs="Times New Roman"/>
      <w:b/>
      <w:bCs/>
      <w:i w:val="0"/>
      <w:iCs w:val="0"/>
      <w:smallCaps w:val="0"/>
      <w:strike w:val="0"/>
      <w:color w:val="000000"/>
      <w:spacing w:val="0"/>
      <w:w w:val="100"/>
      <w:position w:val="0"/>
      <w:sz w:val="11"/>
      <w:szCs w:val="11"/>
      <w:u w:val="none"/>
      <w:lang w:val="fr-FR" w:eastAsia="fr-FR" w:bidi="fr-FR"/>
    </w:rPr>
  </w:style>
  <w:style w:type="character" w:customStyle="1" w:styleId="Corpsdutexte13Arial75ptItalique">
    <w:name w:val="Corps du texte (13) + Arial;7.5 pt;Italique"/>
    <w:basedOn w:val="Corpsdutexte13"/>
    <w:rsid w:val="00B84DC7"/>
    <w:rPr>
      <w:rFonts w:ascii="Arial" w:eastAsia="Arial" w:hAnsi="Arial" w:cs="Arial"/>
      <w:b w:val="0"/>
      <w:bCs w:val="0"/>
      <w:i w:val="0"/>
      <w:iCs w:val="0"/>
      <w:smallCaps w:val="0"/>
      <w:strike w:val="0"/>
      <w:color w:val="000000"/>
      <w:spacing w:val="0"/>
      <w:w w:val="100"/>
      <w:position w:val="0"/>
      <w:sz w:val="15"/>
      <w:szCs w:val="15"/>
      <w:u w:val="none"/>
      <w:lang w:val="fr-FR" w:eastAsia="fr-FR" w:bidi="fr-FR"/>
    </w:rPr>
  </w:style>
  <w:style w:type="character" w:customStyle="1" w:styleId="Corpsdutexte1310pt">
    <w:name w:val="Corps du texte (13) + 10 pt"/>
    <w:basedOn w:val="Corpsdutexte13"/>
    <w:rsid w:val="00B84DC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Corpsdutexte2855ptGras">
    <w:name w:val="Corps du texte (28) + 5.5 pt;Gras"/>
    <w:basedOn w:val="Corpsdutexte28"/>
    <w:rsid w:val="00B84DC7"/>
    <w:rPr>
      <w:rFonts w:ascii="Times New Roman" w:eastAsia="Times New Roman" w:hAnsi="Times New Roman" w:cs="Times New Roman"/>
      <w:b/>
      <w:bCs/>
      <w:i/>
      <w:iCs/>
      <w:smallCaps w:val="0"/>
      <w:strike w:val="0"/>
      <w:color w:val="000000"/>
      <w:spacing w:val="0"/>
      <w:w w:val="100"/>
      <w:position w:val="0"/>
      <w:sz w:val="11"/>
      <w:szCs w:val="11"/>
      <w:u w:val="none"/>
      <w:shd w:val="clear" w:color="auto" w:fill="FFFFFF"/>
      <w:lang w:val="fr-FR" w:eastAsia="fr-FR" w:bidi="fr-FR"/>
    </w:rPr>
  </w:style>
  <w:style w:type="character" w:customStyle="1" w:styleId="Corpsdutexte28Arial">
    <w:name w:val="Corps du texte (28) + Arial"/>
    <w:basedOn w:val="Corpsdutexte28"/>
    <w:rsid w:val="00B84DC7"/>
    <w:rPr>
      <w:rFonts w:ascii="Arial" w:eastAsia="Arial" w:hAnsi="Arial" w:cs="Arial"/>
      <w:b w:val="0"/>
      <w:bCs w:val="0"/>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2810ptNonItalique">
    <w:name w:val="Corps du texte (28) + 10 pt;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1365ptGras">
    <w:name w:val="Corps du texte (13) + 6.5 pt;Gras"/>
    <w:basedOn w:val="Corpsdutexte13"/>
    <w:rsid w:val="00B84DC7"/>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Corpsdutexte139ptGras">
    <w:name w:val="Corps du texte (13) + 9 pt;Gras"/>
    <w:basedOn w:val="Corpsdutexte13"/>
    <w:rsid w:val="00B84DC7"/>
    <w:rPr>
      <w:rFonts w:ascii="Times New Roman" w:eastAsia="Times New Roman" w:hAnsi="Times New Roman" w:cs="Times New Roman"/>
      <w:b/>
      <w:bCs/>
      <w:i w:val="0"/>
      <w:iCs w:val="0"/>
      <w:smallCaps w:val="0"/>
      <w:strike w:val="0"/>
      <w:color w:val="000000"/>
      <w:spacing w:val="0"/>
      <w:w w:val="100"/>
      <w:position w:val="0"/>
      <w:sz w:val="18"/>
      <w:szCs w:val="18"/>
      <w:u w:val="none"/>
      <w:lang w:val="fr-FR" w:eastAsia="fr-FR" w:bidi="fr-FR"/>
    </w:rPr>
  </w:style>
  <w:style w:type="character" w:customStyle="1" w:styleId="Corpsdutexte35">
    <w:name w:val="Corps du texte (35)_"/>
    <w:basedOn w:val="Policepardfaut"/>
    <w:link w:val="Corpsdutexte350"/>
    <w:rsid w:val="00B84DC7"/>
    <w:rPr>
      <w:rFonts w:ascii="Times New Roman" w:eastAsia="Times New Roman" w:hAnsi="Times New Roman"/>
      <w:b/>
      <w:bCs/>
      <w:sz w:val="14"/>
      <w:szCs w:val="14"/>
      <w:shd w:val="clear" w:color="auto" w:fill="FFFFFF"/>
    </w:rPr>
  </w:style>
  <w:style w:type="character" w:customStyle="1" w:styleId="Corpsdutexte359ptEspacement0pt">
    <w:name w:val="Corps du texte (35) + 9 pt;Espacement 0 pt"/>
    <w:basedOn w:val="Corpsdutexte35"/>
    <w:rsid w:val="00B84DC7"/>
    <w:rPr>
      <w:rFonts w:ascii="Times New Roman" w:eastAsia="Times New Roman" w:hAnsi="Times New Roman"/>
      <w:b w:val="0"/>
      <w:bCs w:val="0"/>
      <w:color w:val="000000"/>
      <w:spacing w:val="-10"/>
      <w:w w:val="100"/>
      <w:position w:val="0"/>
      <w:sz w:val="18"/>
      <w:szCs w:val="18"/>
      <w:shd w:val="clear" w:color="auto" w:fill="FFFFFF"/>
      <w:lang w:val="fr-FR" w:eastAsia="fr-FR" w:bidi="fr-FR"/>
    </w:rPr>
  </w:style>
  <w:style w:type="character" w:customStyle="1" w:styleId="Corpsdutexte13Espacement-1pt">
    <w:name w:val="Corps du texte (13) + Espacement -1 pt"/>
    <w:basedOn w:val="Corpsdutexte13"/>
    <w:rsid w:val="00B84DC7"/>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Corpsdutexte36">
    <w:name w:val="Corps du texte (36)_"/>
    <w:basedOn w:val="Policepardfaut"/>
    <w:link w:val="Corpsdutexte360"/>
    <w:rsid w:val="00B84DC7"/>
    <w:rPr>
      <w:rFonts w:ascii="Times New Roman" w:eastAsia="Times New Roman" w:hAnsi="Times New Roman"/>
      <w:b/>
      <w:bCs/>
      <w:sz w:val="13"/>
      <w:szCs w:val="13"/>
      <w:shd w:val="clear" w:color="auto" w:fill="FFFFFF"/>
    </w:rPr>
  </w:style>
  <w:style w:type="character" w:customStyle="1" w:styleId="Corpsdutexte369pt">
    <w:name w:val="Corps du texte (36) + 9 pt"/>
    <w:basedOn w:val="Corpsdutexte36"/>
    <w:rsid w:val="00B84DC7"/>
    <w:rPr>
      <w:rFonts w:ascii="Times New Roman" w:eastAsia="Times New Roman" w:hAnsi="Times New Roman"/>
      <w:b w:val="0"/>
      <w:bCs w:val="0"/>
      <w:color w:val="000000"/>
      <w:w w:val="100"/>
      <w:position w:val="0"/>
      <w:sz w:val="18"/>
      <w:szCs w:val="18"/>
      <w:shd w:val="clear" w:color="auto" w:fill="FFFFFF"/>
      <w:lang w:val="fr-FR" w:eastAsia="fr-FR" w:bidi="fr-FR"/>
    </w:rPr>
  </w:style>
  <w:style w:type="character" w:customStyle="1" w:styleId="Corpsdutexte1395ptItalique">
    <w:name w:val="Corps du texte (13) + 9.5 pt;Italique"/>
    <w:basedOn w:val="Corpsdutexte13"/>
    <w:rsid w:val="00B84DC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Corpsdutexte37">
    <w:name w:val="Corps du texte (37)_"/>
    <w:basedOn w:val="Policepardfaut"/>
    <w:link w:val="Corpsdutexte370"/>
    <w:rsid w:val="00B84DC7"/>
    <w:rPr>
      <w:rFonts w:ascii="Times New Roman" w:eastAsia="Times New Roman" w:hAnsi="Times New Roman"/>
      <w:b/>
      <w:bCs/>
      <w:sz w:val="13"/>
      <w:szCs w:val="13"/>
      <w:shd w:val="clear" w:color="auto" w:fill="FFFFFF"/>
    </w:rPr>
  </w:style>
  <w:style w:type="character" w:customStyle="1" w:styleId="Corpsdutexte37Arial85ptNonGras">
    <w:name w:val="Corps du texte (37) + Arial;8.5 pt;Non Gras"/>
    <w:basedOn w:val="Corpsdutexte37"/>
    <w:rsid w:val="00B84DC7"/>
    <w:rPr>
      <w:rFonts w:ascii="Arial" w:eastAsia="Arial" w:hAnsi="Arial" w:cs="Arial"/>
      <w:b w:val="0"/>
      <w:bCs w:val="0"/>
      <w:color w:val="000000"/>
      <w:w w:val="100"/>
      <w:position w:val="0"/>
      <w:sz w:val="17"/>
      <w:szCs w:val="17"/>
      <w:shd w:val="clear" w:color="auto" w:fill="FFFFFF"/>
      <w:lang w:val="fr-FR" w:eastAsia="fr-FR" w:bidi="fr-FR"/>
    </w:rPr>
  </w:style>
  <w:style w:type="character" w:customStyle="1" w:styleId="Corpsdutexte38">
    <w:name w:val="Corps du texte (38)_"/>
    <w:basedOn w:val="Policepardfaut"/>
    <w:link w:val="Corpsdutexte380"/>
    <w:rsid w:val="00B84DC7"/>
    <w:rPr>
      <w:rFonts w:ascii="Times New Roman" w:eastAsia="Times New Roman" w:hAnsi="Times New Roman"/>
      <w:b/>
      <w:bCs/>
      <w:sz w:val="14"/>
      <w:szCs w:val="14"/>
      <w:shd w:val="clear" w:color="auto" w:fill="FFFFFF"/>
    </w:rPr>
  </w:style>
  <w:style w:type="character" w:customStyle="1" w:styleId="Corpsdutexte38Arial85ptNonGras">
    <w:name w:val="Corps du texte (38) + Arial;8.5 pt;Non Gras"/>
    <w:basedOn w:val="Corpsdutexte38"/>
    <w:rsid w:val="00B84DC7"/>
    <w:rPr>
      <w:rFonts w:ascii="Arial" w:eastAsia="Arial" w:hAnsi="Arial" w:cs="Arial"/>
      <w:b w:val="0"/>
      <w:bCs w:val="0"/>
      <w:color w:val="000000"/>
      <w:spacing w:val="0"/>
      <w:w w:val="100"/>
      <w:position w:val="0"/>
      <w:sz w:val="17"/>
      <w:szCs w:val="17"/>
      <w:shd w:val="clear" w:color="auto" w:fill="FFFFFF"/>
      <w:lang w:val="fr-FR" w:eastAsia="fr-FR" w:bidi="fr-FR"/>
    </w:rPr>
  </w:style>
  <w:style w:type="character" w:customStyle="1" w:styleId="Corpsdutexte287ptGrasNonItalique">
    <w:name w:val="Corps du texte (28) + 7 pt;Gras;Non Italique"/>
    <w:basedOn w:val="Corpsdutexte28"/>
    <w:rsid w:val="00B84DC7"/>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fr-FR" w:eastAsia="fr-FR" w:bidi="fr-FR"/>
    </w:rPr>
  </w:style>
  <w:style w:type="character" w:customStyle="1" w:styleId="Corpsdutexte288ptNonItalique">
    <w:name w:val="Corps du texte (28) + 8 pt;Non Italique"/>
    <w:basedOn w:val="Corpsdutexte28"/>
    <w:rsid w:val="00B84DC7"/>
    <w:rPr>
      <w:rFonts w:ascii="Times New Roman" w:eastAsia="Times New Roman" w:hAnsi="Times New Roman" w:cs="Times New Roman"/>
      <w:b/>
      <w:bCs/>
      <w:i/>
      <w:iCs/>
      <w:smallCaps w:val="0"/>
      <w:strike w:val="0"/>
      <w:color w:val="000000"/>
      <w:spacing w:val="0"/>
      <w:w w:val="100"/>
      <w:position w:val="0"/>
      <w:sz w:val="16"/>
      <w:szCs w:val="16"/>
      <w:u w:val="none"/>
      <w:shd w:val="clear" w:color="auto" w:fill="FFFFFF"/>
      <w:lang w:val="fr-FR" w:eastAsia="fr-FR" w:bidi="fr-FR"/>
    </w:rPr>
  </w:style>
  <w:style w:type="character" w:customStyle="1" w:styleId="Corpsdutexte289ptGrasNonItalique">
    <w:name w:val="Corps du texte (28) + 9 pt;Gras;Non Italique"/>
    <w:basedOn w:val="Corpsdutexte28"/>
    <w:rsid w:val="00B84DC7"/>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39">
    <w:name w:val="Corps du texte (39)_"/>
    <w:basedOn w:val="Policepardfaut"/>
    <w:link w:val="Corpsdutexte390"/>
    <w:rsid w:val="00B84DC7"/>
    <w:rPr>
      <w:rFonts w:ascii="Times New Roman" w:eastAsia="Times New Roman" w:hAnsi="Times New Roman"/>
      <w:b/>
      <w:bCs/>
      <w:sz w:val="13"/>
      <w:szCs w:val="13"/>
      <w:shd w:val="clear" w:color="auto" w:fill="FFFFFF"/>
    </w:rPr>
  </w:style>
  <w:style w:type="character" w:customStyle="1" w:styleId="Corpsdutexte399ptEspacement0pt">
    <w:name w:val="Corps du texte (39) + 9 pt;Espacement 0 pt"/>
    <w:basedOn w:val="Corpsdutexte39"/>
    <w:rsid w:val="00B84DC7"/>
    <w:rPr>
      <w:rFonts w:ascii="Times New Roman" w:eastAsia="Times New Roman" w:hAnsi="Times New Roman"/>
      <w:b w:val="0"/>
      <w:bCs w:val="0"/>
      <w:color w:val="000000"/>
      <w:spacing w:val="-10"/>
      <w:w w:val="100"/>
      <w:position w:val="0"/>
      <w:sz w:val="18"/>
      <w:szCs w:val="18"/>
      <w:shd w:val="clear" w:color="auto" w:fill="FFFFFF"/>
      <w:lang w:val="fr-FR" w:eastAsia="fr-FR" w:bidi="fr-FR"/>
    </w:rPr>
  </w:style>
  <w:style w:type="character" w:customStyle="1" w:styleId="Corpsdutexte41">
    <w:name w:val="Corps du texte (41)_"/>
    <w:basedOn w:val="Policepardfaut"/>
    <w:rsid w:val="00B84DC7"/>
    <w:rPr>
      <w:rFonts w:ascii="Times New Roman" w:eastAsia="Times New Roman" w:hAnsi="Times New Roman" w:cs="Times New Roman"/>
      <w:b w:val="0"/>
      <w:bCs w:val="0"/>
      <w:i w:val="0"/>
      <w:iCs w:val="0"/>
      <w:smallCaps w:val="0"/>
      <w:strike w:val="0"/>
      <w:sz w:val="28"/>
      <w:szCs w:val="28"/>
      <w:u w:val="none"/>
    </w:rPr>
  </w:style>
  <w:style w:type="character" w:customStyle="1" w:styleId="Corpsdutexte410">
    <w:name w:val="Corps du texte (41)"/>
    <w:basedOn w:val="Corpsdutexte41"/>
    <w:rsid w:val="00B84DC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paragraph" w:customStyle="1" w:styleId="Corpsdutexte301">
    <w:name w:val="Corps du texte (30)"/>
    <w:basedOn w:val="Normal"/>
    <w:link w:val="Corpsdutexte300"/>
    <w:rsid w:val="00B84DC7"/>
    <w:pPr>
      <w:widowControl w:val="0"/>
      <w:shd w:val="clear" w:color="auto" w:fill="FFFFFF"/>
      <w:spacing w:line="0" w:lineRule="atLeast"/>
      <w:ind w:firstLine="29"/>
    </w:pPr>
    <w:rPr>
      <w:b/>
      <w:bCs/>
      <w:i/>
      <w:iCs/>
      <w:sz w:val="24"/>
      <w:szCs w:val="24"/>
      <w:lang w:val="fr-FR" w:eastAsia="fr-FR"/>
    </w:rPr>
  </w:style>
  <w:style w:type="paragraph" w:customStyle="1" w:styleId="Corpsdutexte340">
    <w:name w:val="Corps du texte (34)"/>
    <w:basedOn w:val="Normal"/>
    <w:link w:val="Corpsdutexte34"/>
    <w:rsid w:val="00B84DC7"/>
    <w:pPr>
      <w:widowControl w:val="0"/>
      <w:shd w:val="clear" w:color="auto" w:fill="FFFFFF"/>
      <w:spacing w:before="60" w:after="60" w:line="173" w:lineRule="exact"/>
      <w:ind w:hanging="470"/>
      <w:jc w:val="both"/>
    </w:pPr>
    <w:rPr>
      <w:b/>
      <w:bCs/>
      <w:i/>
      <w:iCs/>
      <w:sz w:val="15"/>
      <w:szCs w:val="15"/>
      <w:lang w:val="fr-FR" w:eastAsia="fr-FR"/>
    </w:rPr>
  </w:style>
  <w:style w:type="paragraph" w:customStyle="1" w:styleId="Corpsdutexte350">
    <w:name w:val="Corps du texte (35)"/>
    <w:basedOn w:val="Normal"/>
    <w:link w:val="Corpsdutexte35"/>
    <w:rsid w:val="00B84DC7"/>
    <w:pPr>
      <w:widowControl w:val="0"/>
      <w:shd w:val="clear" w:color="auto" w:fill="FFFFFF"/>
      <w:spacing w:line="226" w:lineRule="exact"/>
      <w:ind w:firstLine="5"/>
      <w:jc w:val="both"/>
    </w:pPr>
    <w:rPr>
      <w:b/>
      <w:bCs/>
      <w:sz w:val="14"/>
      <w:szCs w:val="14"/>
      <w:lang w:val="fr-FR" w:eastAsia="fr-FR"/>
    </w:rPr>
  </w:style>
  <w:style w:type="paragraph" w:customStyle="1" w:styleId="Corpsdutexte360">
    <w:name w:val="Corps du texte (36)"/>
    <w:basedOn w:val="Normal"/>
    <w:link w:val="Corpsdutexte36"/>
    <w:rsid w:val="00B84DC7"/>
    <w:pPr>
      <w:widowControl w:val="0"/>
      <w:shd w:val="clear" w:color="auto" w:fill="FFFFFF"/>
      <w:spacing w:after="60" w:line="178" w:lineRule="exact"/>
      <w:ind w:hanging="1"/>
      <w:jc w:val="both"/>
    </w:pPr>
    <w:rPr>
      <w:b/>
      <w:bCs/>
      <w:sz w:val="13"/>
      <w:szCs w:val="13"/>
      <w:lang w:val="fr-FR" w:eastAsia="fr-FR"/>
    </w:rPr>
  </w:style>
  <w:style w:type="paragraph" w:customStyle="1" w:styleId="Corpsdutexte370">
    <w:name w:val="Corps du texte (37)"/>
    <w:basedOn w:val="Normal"/>
    <w:link w:val="Corpsdutexte37"/>
    <w:rsid w:val="00B84DC7"/>
    <w:pPr>
      <w:widowControl w:val="0"/>
      <w:shd w:val="clear" w:color="auto" w:fill="FFFFFF"/>
      <w:spacing w:after="60" w:line="182" w:lineRule="exact"/>
      <w:ind w:hanging="1"/>
      <w:jc w:val="both"/>
    </w:pPr>
    <w:rPr>
      <w:b/>
      <w:bCs/>
      <w:sz w:val="13"/>
      <w:szCs w:val="13"/>
      <w:lang w:val="fr-FR" w:eastAsia="fr-FR"/>
    </w:rPr>
  </w:style>
  <w:style w:type="paragraph" w:customStyle="1" w:styleId="Corpsdutexte380">
    <w:name w:val="Corps du texte (38)"/>
    <w:basedOn w:val="Normal"/>
    <w:link w:val="Corpsdutexte38"/>
    <w:rsid w:val="00B84DC7"/>
    <w:pPr>
      <w:widowControl w:val="0"/>
      <w:shd w:val="clear" w:color="auto" w:fill="FFFFFF"/>
      <w:spacing w:after="60" w:line="178" w:lineRule="exact"/>
      <w:ind w:hanging="1"/>
      <w:jc w:val="both"/>
    </w:pPr>
    <w:rPr>
      <w:b/>
      <w:bCs/>
      <w:sz w:val="14"/>
      <w:szCs w:val="14"/>
      <w:lang w:val="fr-FR" w:eastAsia="fr-FR"/>
    </w:rPr>
  </w:style>
  <w:style w:type="paragraph" w:customStyle="1" w:styleId="Corpsdutexte390">
    <w:name w:val="Corps du texte (39)"/>
    <w:basedOn w:val="Normal"/>
    <w:link w:val="Corpsdutexte39"/>
    <w:rsid w:val="00B84DC7"/>
    <w:pPr>
      <w:widowControl w:val="0"/>
      <w:shd w:val="clear" w:color="auto" w:fill="FFFFFF"/>
      <w:spacing w:line="240" w:lineRule="exact"/>
      <w:ind w:firstLine="6"/>
      <w:jc w:val="both"/>
    </w:pPr>
    <w:rPr>
      <w:b/>
      <w:bCs/>
      <w:sz w:val="13"/>
      <w:szCs w:val="13"/>
      <w:lang w:val="fr-FR" w:eastAsia="fr-FR"/>
    </w:rPr>
  </w:style>
  <w:style w:type="paragraph" w:customStyle="1" w:styleId="ba">
    <w:name w:val="ba"/>
    <w:basedOn w:val="Normal"/>
    <w:autoRedefine/>
    <w:rsid w:val="00CE057C"/>
    <w:pPr>
      <w:spacing w:before="120" w:after="120"/>
      <w:ind w:left="1260" w:hanging="540"/>
    </w:pPr>
  </w:style>
  <w:style w:type="paragraph" w:customStyle="1" w:styleId="a0">
    <w:name w:val="+"/>
    <w:basedOn w:val="a"/>
    <w:rsid w:val="00F33D1D"/>
  </w:style>
  <w:style w:type="character" w:customStyle="1" w:styleId="Notedebasdepage95ptNonGrasItalique">
    <w:name w:val="Note de bas de page + 9.5 pt;Non Gras;Italique"/>
    <w:rsid w:val="000F64BD"/>
    <w:rPr>
      <w:rFonts w:ascii="Arial" w:eastAsia="Arial" w:hAnsi="Arial" w:cs="Arial"/>
      <w:b w:val="0"/>
      <w:bCs w:val="0"/>
      <w:i/>
      <w:iCs/>
      <w:smallCaps w:val="0"/>
      <w:strike w:val="0"/>
      <w:color w:val="000000"/>
      <w:spacing w:val="0"/>
      <w:w w:val="100"/>
      <w:position w:val="0"/>
      <w:sz w:val="19"/>
      <w:szCs w:val="19"/>
      <w:u w:val="none"/>
      <w:lang w:val="fr-FR" w:eastAsia="fr-FR" w:bidi="fr-FR"/>
    </w:rPr>
  </w:style>
  <w:style w:type="paragraph" w:customStyle="1" w:styleId="aa">
    <w:name w:val="aa"/>
    <w:basedOn w:val="Normal"/>
    <w:autoRedefine/>
    <w:rsid w:val="000F64BD"/>
    <w:pPr>
      <w:spacing w:before="120" w:after="120"/>
      <w:jc w:val="both"/>
    </w:pPr>
    <w:rPr>
      <w:b/>
      <w:i/>
      <w:color w:val="FF0000"/>
      <w:sz w:val="32"/>
    </w:rPr>
  </w:style>
  <w:style w:type="paragraph" w:customStyle="1" w:styleId="b">
    <w:name w:val="b"/>
    <w:basedOn w:val="Normal"/>
    <w:autoRedefine/>
    <w:rsid w:val="00B157F0"/>
    <w:pPr>
      <w:spacing w:before="120" w:after="120"/>
      <w:ind w:left="720" w:firstLine="0"/>
    </w:pPr>
    <w:rPr>
      <w:i/>
      <w:color w:val="0000FF"/>
    </w:rPr>
  </w:style>
  <w:style w:type="paragraph" w:customStyle="1" w:styleId="bb">
    <w:name w:val="bb"/>
    <w:basedOn w:val="Normal"/>
    <w:rsid w:val="000F64BD"/>
    <w:pPr>
      <w:spacing w:before="120" w:after="120"/>
      <w:ind w:left="540"/>
    </w:pPr>
    <w:rPr>
      <w:i/>
      <w:color w:val="0000FF"/>
    </w:rPr>
  </w:style>
  <w:style w:type="character" w:customStyle="1" w:styleId="En-tteoupieddepageNonGras">
    <w:name w:val="En-tête ou pied de page + Non Gras"/>
    <w:rsid w:val="000F64BD"/>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character" w:customStyle="1" w:styleId="Corpsdutexte1010ptGrasNonItalique">
    <w:name w:val="Corps du texte (10) + 10 pt;Gras;Non Italique"/>
    <w:rsid w:val="000F64BD"/>
    <w:rPr>
      <w:rFonts w:ascii="Arial" w:eastAsia="Arial" w:hAnsi="Arial" w:cs="Arial"/>
      <w:b/>
      <w:bCs/>
      <w:i/>
      <w:iCs/>
      <w:smallCaps w:val="0"/>
      <w:strike w:val="0"/>
      <w:color w:val="000000"/>
      <w:spacing w:val="0"/>
      <w:w w:val="100"/>
      <w:position w:val="0"/>
      <w:sz w:val="20"/>
      <w:szCs w:val="20"/>
      <w:u w:val="none"/>
      <w:lang w:val="fr-FR" w:eastAsia="fr-FR" w:bidi="fr-FR"/>
    </w:rPr>
  </w:style>
  <w:style w:type="character" w:customStyle="1" w:styleId="En-tte3Exact">
    <w:name w:val="En-tête #3 Exact"/>
    <w:rsid w:val="000F64BD"/>
    <w:rPr>
      <w:rFonts w:ascii="Times New Roman" w:eastAsia="Times New Roman" w:hAnsi="Times New Roman" w:cs="Times New Roman"/>
      <w:b w:val="0"/>
      <w:bCs w:val="0"/>
      <w:i w:val="0"/>
      <w:iCs w:val="0"/>
      <w:smallCaps w:val="0"/>
      <w:strike w:val="0"/>
      <w:spacing w:val="30"/>
      <w:sz w:val="26"/>
      <w:szCs w:val="26"/>
      <w:u w:val="none"/>
    </w:rPr>
  </w:style>
  <w:style w:type="character" w:customStyle="1" w:styleId="En-tte32">
    <w:name w:val="En-tête #3 (2)_"/>
    <w:link w:val="En-tte320"/>
    <w:rsid w:val="000F64BD"/>
    <w:rPr>
      <w:rFonts w:ascii="Arial" w:eastAsia="Arial" w:hAnsi="Arial" w:cs="Arial"/>
      <w:spacing w:val="40"/>
      <w:sz w:val="28"/>
      <w:szCs w:val="28"/>
      <w:shd w:val="clear" w:color="auto" w:fill="FFFFFF"/>
    </w:rPr>
  </w:style>
  <w:style w:type="paragraph" w:customStyle="1" w:styleId="dd">
    <w:name w:val="dd"/>
    <w:basedOn w:val="Normal"/>
    <w:autoRedefine/>
    <w:rsid w:val="000F64BD"/>
    <w:pPr>
      <w:spacing w:before="120" w:after="120"/>
      <w:ind w:left="1080"/>
    </w:pPr>
    <w:rPr>
      <w:i/>
      <w:color w:val="008000"/>
    </w:rPr>
  </w:style>
  <w:style w:type="character" w:customStyle="1" w:styleId="Lgendedutableau2Exact">
    <w:name w:val="Légende du tableau (2) Exact"/>
    <w:rsid w:val="000F64BD"/>
    <w:rPr>
      <w:rFonts w:ascii="Arial" w:eastAsia="Arial" w:hAnsi="Arial" w:cs="Arial"/>
      <w:b/>
      <w:bCs/>
      <w:i w:val="0"/>
      <w:iCs w:val="0"/>
      <w:smallCaps w:val="0"/>
      <w:strike w:val="0"/>
      <w:sz w:val="20"/>
      <w:szCs w:val="20"/>
      <w:u w:val="none"/>
    </w:rPr>
  </w:style>
  <w:style w:type="character" w:customStyle="1" w:styleId="Corpsdutexte211ptGras">
    <w:name w:val="Corps du texte (2) + 11 pt;Gras"/>
    <w:rsid w:val="000F64BD"/>
    <w:rPr>
      <w:rFonts w:ascii="Arial" w:eastAsia="Arial" w:hAnsi="Arial" w:cs="Arial"/>
      <w:b/>
      <w:bCs/>
      <w:i w:val="0"/>
      <w:iCs w:val="0"/>
      <w:smallCaps w:val="0"/>
      <w:strike w:val="0"/>
      <w:color w:val="000000"/>
      <w:spacing w:val="0"/>
      <w:w w:val="100"/>
      <w:position w:val="0"/>
      <w:sz w:val="22"/>
      <w:szCs w:val="22"/>
      <w:u w:val="none"/>
      <w:lang w:val="fr-FR" w:eastAsia="fr-FR" w:bidi="fr-FR"/>
    </w:rPr>
  </w:style>
  <w:style w:type="paragraph" w:customStyle="1" w:styleId="figlgende">
    <w:name w:val="fig légende"/>
    <w:basedOn w:val="Normal0"/>
    <w:rsid w:val="000F64BD"/>
    <w:rPr>
      <w:color w:val="000090"/>
      <w:sz w:val="24"/>
      <w:szCs w:val="16"/>
      <w:lang w:eastAsia="fr-FR"/>
    </w:rPr>
  </w:style>
  <w:style w:type="character" w:customStyle="1" w:styleId="En-tte33">
    <w:name w:val="En-tête #3 (3)_"/>
    <w:link w:val="En-tte330"/>
    <w:rsid w:val="000F64BD"/>
    <w:rPr>
      <w:rFonts w:ascii="AppleMyungjo" w:eastAsia="AppleMyungjo" w:hAnsi="AppleMyungjo" w:cs="AppleMyungjo"/>
      <w:sz w:val="26"/>
      <w:szCs w:val="26"/>
      <w:shd w:val="clear" w:color="auto" w:fill="FFFFFF"/>
    </w:rPr>
  </w:style>
  <w:style w:type="paragraph" w:customStyle="1" w:styleId="figst">
    <w:name w:val="fig st"/>
    <w:basedOn w:val="Normal"/>
    <w:autoRedefine/>
    <w:rsid w:val="00FC1BA0"/>
    <w:pPr>
      <w:spacing w:before="120" w:after="120"/>
      <w:jc w:val="center"/>
    </w:pPr>
    <w:rPr>
      <w:rFonts w:cs="Arial"/>
      <w:color w:val="000090"/>
      <w:sz w:val="24"/>
      <w:szCs w:val="16"/>
      <w:lang w:eastAsia="fr-FR" w:bidi="fr-FR"/>
    </w:rPr>
  </w:style>
  <w:style w:type="character" w:customStyle="1" w:styleId="NotedebasdepageItaliqueExact">
    <w:name w:val="Note de bas de page + Italique Exact"/>
    <w:rsid w:val="000F64BD"/>
    <w:rPr>
      <w:rFonts w:ascii="Arial" w:eastAsia="Arial" w:hAnsi="Arial" w:cs="Arial"/>
      <w:b/>
      <w:bCs/>
      <w:i/>
      <w:iCs/>
      <w:smallCaps w:val="0"/>
      <w:strike w:val="0"/>
      <w:color w:val="000000"/>
      <w:spacing w:val="0"/>
      <w:w w:val="100"/>
      <w:position w:val="0"/>
      <w:sz w:val="16"/>
      <w:szCs w:val="16"/>
      <w:u w:val="none"/>
      <w:lang w:val="fr-FR" w:eastAsia="fr-FR" w:bidi="fr-FR"/>
    </w:rPr>
  </w:style>
  <w:style w:type="paragraph" w:customStyle="1" w:styleId="En-tte320">
    <w:name w:val="En-tête #3 (2)"/>
    <w:basedOn w:val="Normal"/>
    <w:link w:val="En-tte32"/>
    <w:rsid w:val="000F64BD"/>
    <w:pPr>
      <w:widowControl w:val="0"/>
      <w:shd w:val="clear" w:color="auto" w:fill="FFFFFF"/>
      <w:spacing w:after="840" w:line="0" w:lineRule="atLeast"/>
      <w:jc w:val="right"/>
      <w:outlineLvl w:val="2"/>
    </w:pPr>
    <w:rPr>
      <w:rFonts w:ascii="Arial" w:eastAsia="Arial" w:hAnsi="Arial"/>
      <w:spacing w:val="40"/>
      <w:szCs w:val="28"/>
      <w:lang w:val="x-none" w:eastAsia="x-none"/>
    </w:rPr>
  </w:style>
  <w:style w:type="paragraph" w:customStyle="1" w:styleId="En-tte330">
    <w:name w:val="En-tête #3 (3)"/>
    <w:basedOn w:val="Normal"/>
    <w:link w:val="En-tte33"/>
    <w:rsid w:val="000F64BD"/>
    <w:pPr>
      <w:widowControl w:val="0"/>
      <w:shd w:val="clear" w:color="auto" w:fill="FFFFFF"/>
      <w:spacing w:line="0" w:lineRule="atLeast"/>
      <w:ind w:firstLine="29"/>
      <w:outlineLvl w:val="2"/>
    </w:pPr>
    <w:rPr>
      <w:rFonts w:ascii="AppleMyungjo" w:eastAsia="AppleMyungjo" w:hAnsi="AppleMyungjo"/>
      <w:sz w:val="26"/>
      <w:szCs w:val="26"/>
      <w:lang w:val="x-none" w:eastAsia="x-none"/>
    </w:rPr>
  </w:style>
  <w:style w:type="character" w:customStyle="1" w:styleId="Notedebasdepage295ptNonGras">
    <w:name w:val="Note de bas de page (2) + 9.5 pt;Non Gras"/>
    <w:rsid w:val="001B0245"/>
    <w:rPr>
      <w:rFonts w:ascii="Arial" w:eastAsia="Arial" w:hAnsi="Arial" w:cs="Arial"/>
      <w:b w:val="0"/>
      <w:bCs w:val="0"/>
      <w:i w:val="0"/>
      <w:iCs w:val="0"/>
      <w:smallCaps w:val="0"/>
      <w:strike w:val="0"/>
      <w:color w:val="000000"/>
      <w:spacing w:val="0"/>
      <w:w w:val="100"/>
      <w:position w:val="0"/>
      <w:sz w:val="19"/>
      <w:szCs w:val="19"/>
      <w:u w:val="none"/>
      <w:lang w:val="fr-FR" w:eastAsia="fr-FR" w:bidi="fr-FR"/>
    </w:rPr>
  </w:style>
  <w:style w:type="character" w:customStyle="1" w:styleId="Notedebasdepage3">
    <w:name w:val="Note de bas de page (3)_"/>
    <w:link w:val="Notedebasdepage30"/>
    <w:rsid w:val="001B0245"/>
    <w:rPr>
      <w:rFonts w:ascii="Arial" w:eastAsia="Arial" w:hAnsi="Arial" w:cs="Arial"/>
      <w:i/>
      <w:iCs/>
      <w:sz w:val="19"/>
      <w:szCs w:val="19"/>
      <w:shd w:val="clear" w:color="auto" w:fill="FFFFFF"/>
    </w:rPr>
  </w:style>
  <w:style w:type="character" w:customStyle="1" w:styleId="Notedebasdepage4">
    <w:name w:val="Note de bas de page (4)_"/>
    <w:link w:val="Notedebasdepage40"/>
    <w:rsid w:val="001B0245"/>
    <w:rPr>
      <w:rFonts w:ascii="Arial" w:eastAsia="Arial" w:hAnsi="Arial" w:cs="Arial"/>
      <w:b/>
      <w:bCs/>
      <w:sz w:val="19"/>
      <w:szCs w:val="19"/>
      <w:shd w:val="clear" w:color="auto" w:fill="FFFFFF"/>
    </w:rPr>
  </w:style>
  <w:style w:type="character" w:customStyle="1" w:styleId="Notedebasdepage4NonGras">
    <w:name w:val="Note de bas de page (4) + Non Gras"/>
    <w:rsid w:val="001B0245"/>
    <w:rPr>
      <w:rFonts w:ascii="Arial" w:eastAsia="Arial" w:hAnsi="Arial" w:cs="Arial"/>
      <w:b w:val="0"/>
      <w:bCs w:val="0"/>
      <w:i w:val="0"/>
      <w:iCs w:val="0"/>
      <w:smallCaps w:val="0"/>
      <w:strike w:val="0"/>
      <w:color w:val="000000"/>
      <w:spacing w:val="0"/>
      <w:w w:val="100"/>
      <w:position w:val="0"/>
      <w:sz w:val="19"/>
      <w:szCs w:val="19"/>
      <w:u w:val="none"/>
      <w:lang w:val="fr-FR" w:eastAsia="fr-FR" w:bidi="fr-FR"/>
    </w:rPr>
  </w:style>
  <w:style w:type="character" w:customStyle="1" w:styleId="Notedebasdepage5">
    <w:name w:val="Note de bas de page (5)_"/>
    <w:link w:val="Notedebasdepage50"/>
    <w:rsid w:val="001B0245"/>
    <w:rPr>
      <w:rFonts w:ascii="Arial" w:eastAsia="Arial" w:hAnsi="Arial" w:cs="Arial"/>
      <w:b/>
      <w:bCs/>
      <w:i/>
      <w:iCs/>
      <w:sz w:val="16"/>
      <w:szCs w:val="16"/>
      <w:shd w:val="clear" w:color="auto" w:fill="FFFFFF"/>
    </w:rPr>
  </w:style>
  <w:style w:type="character" w:customStyle="1" w:styleId="Notedebasdepage5NonItalique">
    <w:name w:val="Note de bas de page (5) + Non Italique"/>
    <w:rsid w:val="001B0245"/>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Notedebasdepage6">
    <w:name w:val="Note de bas de page (6)_"/>
    <w:link w:val="Notedebasdepage60"/>
    <w:rsid w:val="001B0245"/>
    <w:rPr>
      <w:rFonts w:ascii="Arial" w:eastAsia="Arial" w:hAnsi="Arial" w:cs="Arial"/>
      <w:sz w:val="8"/>
      <w:szCs w:val="8"/>
      <w:shd w:val="clear" w:color="auto" w:fill="FFFFFF"/>
    </w:rPr>
  </w:style>
  <w:style w:type="character" w:customStyle="1" w:styleId="En-tteoupieddepageEspacement0pt">
    <w:name w:val="En-tête ou pied de page + Espacement 0 pt"/>
    <w:rsid w:val="001B0245"/>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character" w:customStyle="1" w:styleId="Corpsdutexte9NonGrasItalique">
    <w:name w:val="Corps du texte (9) + Non Gras;Italique"/>
    <w:rsid w:val="001B0245"/>
    <w:rPr>
      <w:rFonts w:ascii="Arial" w:eastAsia="Arial" w:hAnsi="Arial" w:cs="Arial"/>
      <w:b/>
      <w:bCs/>
      <w:i/>
      <w:iCs/>
      <w:smallCaps w:val="0"/>
      <w:strike w:val="0"/>
      <w:color w:val="000000"/>
      <w:spacing w:val="0"/>
      <w:w w:val="100"/>
      <w:position w:val="0"/>
      <w:sz w:val="19"/>
      <w:szCs w:val="19"/>
      <w:u w:val="none"/>
      <w:lang w:val="fr-FR" w:eastAsia="fr-FR" w:bidi="fr-FR"/>
    </w:rPr>
  </w:style>
  <w:style w:type="character" w:customStyle="1" w:styleId="Corpsdutexte9NonGrasItaliqueEspacement1pt">
    <w:name w:val="Corps du texte (9) + Non Gras;Italique;Espacement 1 pt"/>
    <w:rsid w:val="001B0245"/>
    <w:rPr>
      <w:rFonts w:ascii="Arial" w:eastAsia="Arial" w:hAnsi="Arial" w:cs="Arial"/>
      <w:b/>
      <w:bCs/>
      <w:i/>
      <w:iCs/>
      <w:smallCaps w:val="0"/>
      <w:strike w:val="0"/>
      <w:color w:val="000000"/>
      <w:spacing w:val="20"/>
      <w:w w:val="100"/>
      <w:position w:val="0"/>
      <w:sz w:val="19"/>
      <w:szCs w:val="19"/>
      <w:u w:val="none"/>
      <w:lang w:val="fr-FR" w:eastAsia="fr-FR" w:bidi="fr-FR"/>
    </w:rPr>
  </w:style>
  <w:style w:type="character" w:customStyle="1" w:styleId="Corpsdutexte910ptItalique">
    <w:name w:val="Corps du texte (9) + 10 pt;Italique"/>
    <w:rsid w:val="001B0245"/>
    <w:rPr>
      <w:rFonts w:ascii="Arial" w:eastAsia="Arial" w:hAnsi="Arial" w:cs="Arial"/>
      <w:b/>
      <w:bCs/>
      <w:i/>
      <w:iCs/>
      <w:smallCaps w:val="0"/>
      <w:strike w:val="0"/>
      <w:color w:val="000000"/>
      <w:spacing w:val="0"/>
      <w:w w:val="100"/>
      <w:position w:val="0"/>
      <w:sz w:val="20"/>
      <w:szCs w:val="20"/>
      <w:u w:val="none"/>
      <w:lang w:val="fr-FR" w:eastAsia="fr-FR" w:bidi="fr-FR"/>
    </w:rPr>
  </w:style>
  <w:style w:type="character" w:customStyle="1" w:styleId="En-tteoupieddepage9ptGrasEspacement0pt">
    <w:name w:val="En-tête ou pied de page + 9 pt;Gras;Espacement 0 pt"/>
    <w:rsid w:val="001B0245"/>
    <w:rPr>
      <w:rFonts w:ascii="Arial" w:eastAsia="Arial" w:hAnsi="Arial" w:cs="Arial"/>
      <w:b/>
      <w:bCs/>
      <w:i w:val="0"/>
      <w:iCs w:val="0"/>
      <w:smallCaps w:val="0"/>
      <w:strike w:val="0"/>
      <w:color w:val="000000"/>
      <w:spacing w:val="0"/>
      <w:w w:val="100"/>
      <w:position w:val="0"/>
      <w:sz w:val="18"/>
      <w:szCs w:val="18"/>
      <w:u w:val="none"/>
      <w:lang w:val="fr-FR" w:eastAsia="fr-FR" w:bidi="fr-FR"/>
    </w:rPr>
  </w:style>
  <w:style w:type="character" w:customStyle="1" w:styleId="En-tteoupieddepage40">
    <w:name w:val="En-tête ou pied de page (4)_"/>
    <w:rsid w:val="001B0245"/>
    <w:rPr>
      <w:rFonts w:ascii="Arial" w:eastAsia="Arial" w:hAnsi="Arial" w:cs="Arial"/>
      <w:b/>
      <w:bCs/>
      <w:i w:val="0"/>
      <w:iCs w:val="0"/>
      <w:smallCaps w:val="0"/>
      <w:strike w:val="0"/>
      <w:sz w:val="18"/>
      <w:szCs w:val="18"/>
      <w:u w:val="none"/>
    </w:rPr>
  </w:style>
  <w:style w:type="character" w:customStyle="1" w:styleId="En-tteoupieddepage485ptNonGrasEspacement0pt">
    <w:name w:val="En-tête ou pied de page (4) + 8.5 pt;Non Gras;Espacement 0 pt"/>
    <w:rsid w:val="001B0245"/>
    <w:rPr>
      <w:rFonts w:ascii="Arial" w:eastAsia="Arial" w:hAnsi="Arial" w:cs="Arial"/>
      <w:b w:val="0"/>
      <w:bCs w:val="0"/>
      <w:i w:val="0"/>
      <w:iCs w:val="0"/>
      <w:smallCaps w:val="0"/>
      <w:strike w:val="0"/>
      <w:color w:val="000000"/>
      <w:spacing w:val="10"/>
      <w:w w:val="100"/>
      <w:position w:val="0"/>
      <w:sz w:val="17"/>
      <w:szCs w:val="17"/>
      <w:u w:val="none"/>
      <w:lang w:val="fr-FR" w:eastAsia="fr-FR" w:bidi="fr-FR"/>
    </w:rPr>
  </w:style>
  <w:style w:type="character" w:customStyle="1" w:styleId="En-tteoupieddepage485ptNonGras">
    <w:name w:val="En-tête ou pied de page (4) + 8.5 pt;Non Gras"/>
    <w:rsid w:val="001B0245"/>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paragraph" w:customStyle="1" w:styleId="Notedebasdepage30">
    <w:name w:val="Note de bas de page (3)"/>
    <w:basedOn w:val="Normal"/>
    <w:link w:val="Notedebasdepage3"/>
    <w:rsid w:val="001B0245"/>
    <w:pPr>
      <w:widowControl w:val="0"/>
      <w:shd w:val="clear" w:color="auto" w:fill="FFFFFF"/>
      <w:spacing w:line="216" w:lineRule="exact"/>
      <w:ind w:hanging="3"/>
    </w:pPr>
    <w:rPr>
      <w:rFonts w:ascii="Arial" w:eastAsia="Arial" w:hAnsi="Arial"/>
      <w:i/>
      <w:iCs/>
      <w:sz w:val="19"/>
      <w:szCs w:val="19"/>
      <w:lang w:val="x-none" w:eastAsia="x-none"/>
    </w:rPr>
  </w:style>
  <w:style w:type="paragraph" w:customStyle="1" w:styleId="Notedebasdepage40">
    <w:name w:val="Note de bas de page (4)"/>
    <w:basedOn w:val="Normal"/>
    <w:link w:val="Notedebasdepage4"/>
    <w:rsid w:val="001B0245"/>
    <w:pPr>
      <w:widowControl w:val="0"/>
      <w:shd w:val="clear" w:color="auto" w:fill="FFFFFF"/>
      <w:spacing w:before="180" w:line="216" w:lineRule="exact"/>
      <w:ind w:hanging="423"/>
      <w:jc w:val="both"/>
    </w:pPr>
    <w:rPr>
      <w:rFonts w:ascii="Arial" w:eastAsia="Arial" w:hAnsi="Arial"/>
      <w:b/>
      <w:bCs/>
      <w:sz w:val="19"/>
      <w:szCs w:val="19"/>
      <w:lang w:val="x-none" w:eastAsia="x-none"/>
    </w:rPr>
  </w:style>
  <w:style w:type="paragraph" w:customStyle="1" w:styleId="Notedebasdepage50">
    <w:name w:val="Note de bas de page (5)"/>
    <w:basedOn w:val="Normal"/>
    <w:link w:val="Notedebasdepage5"/>
    <w:rsid w:val="001B0245"/>
    <w:pPr>
      <w:widowControl w:val="0"/>
      <w:shd w:val="clear" w:color="auto" w:fill="FFFFFF"/>
      <w:spacing w:line="197" w:lineRule="exact"/>
      <w:ind w:firstLine="29"/>
      <w:jc w:val="both"/>
    </w:pPr>
    <w:rPr>
      <w:rFonts w:ascii="Arial" w:eastAsia="Arial" w:hAnsi="Arial"/>
      <w:b/>
      <w:bCs/>
      <w:i/>
      <w:iCs/>
      <w:sz w:val="16"/>
      <w:szCs w:val="16"/>
      <w:lang w:val="x-none" w:eastAsia="x-none"/>
    </w:rPr>
  </w:style>
  <w:style w:type="paragraph" w:customStyle="1" w:styleId="Notedebasdepage60">
    <w:name w:val="Note de bas de page (6)"/>
    <w:basedOn w:val="Normal"/>
    <w:link w:val="Notedebasdepage6"/>
    <w:rsid w:val="001B0245"/>
    <w:pPr>
      <w:widowControl w:val="0"/>
      <w:shd w:val="clear" w:color="auto" w:fill="FFFFFF"/>
      <w:spacing w:before="840" w:line="0" w:lineRule="atLeast"/>
      <w:ind w:firstLine="34"/>
    </w:pPr>
    <w:rPr>
      <w:rFonts w:ascii="Arial" w:eastAsia="Arial" w:hAnsi="Arial"/>
      <w:sz w:val="8"/>
      <w:szCs w:val="8"/>
      <w:lang w:val="x-none" w:eastAsia="x-none"/>
    </w:rPr>
  </w:style>
  <w:style w:type="character" w:customStyle="1" w:styleId="Notedebasdepage2NonItalique">
    <w:name w:val="Note de bas de page (2) + Non Italique"/>
    <w:rsid w:val="009570B0"/>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Notedebasdepage95ptNonGras">
    <w:name w:val="Note de bas de page + 9.5 pt;Non Gras"/>
    <w:rsid w:val="009570B0"/>
    <w:rPr>
      <w:rFonts w:ascii="Arial" w:eastAsia="Arial" w:hAnsi="Arial" w:cs="Arial"/>
      <w:b w:val="0"/>
      <w:bCs w:val="0"/>
      <w:i w:val="0"/>
      <w:iCs w:val="0"/>
      <w:smallCaps w:val="0"/>
      <w:strike w:val="0"/>
      <w:color w:val="000000"/>
      <w:spacing w:val="0"/>
      <w:w w:val="100"/>
      <w:position w:val="0"/>
      <w:sz w:val="19"/>
      <w:szCs w:val="19"/>
      <w:u w:val="none"/>
      <w:lang w:val="fr-FR" w:eastAsia="fr-FR" w:bidi="fr-FR"/>
    </w:rPr>
  </w:style>
  <w:style w:type="character" w:customStyle="1" w:styleId="Notedebasdepage3Italique">
    <w:name w:val="Note de bas de page (3) + Italique"/>
    <w:rsid w:val="009570B0"/>
    <w:rPr>
      <w:rFonts w:ascii="Arial" w:eastAsia="Arial" w:hAnsi="Arial" w:cs="Arial"/>
      <w:b w:val="0"/>
      <w:bCs w:val="0"/>
      <w:i/>
      <w:iCs/>
      <w:smallCaps w:val="0"/>
      <w:strike w:val="0"/>
      <w:color w:val="000000"/>
      <w:spacing w:val="0"/>
      <w:w w:val="100"/>
      <w:position w:val="0"/>
      <w:sz w:val="19"/>
      <w:szCs w:val="19"/>
      <w:u w:val="none"/>
      <w:lang w:val="fr-FR" w:eastAsia="fr-FR" w:bidi="fr-FR"/>
    </w:rPr>
  </w:style>
  <w:style w:type="character" w:customStyle="1" w:styleId="Corpsdutexte2GrasEspacement1pt">
    <w:name w:val="Corps du texte (2) + Gras;Espacement 1 pt"/>
    <w:rsid w:val="009570B0"/>
    <w:rPr>
      <w:rFonts w:ascii="Arial" w:eastAsia="Arial" w:hAnsi="Arial" w:cs="Arial"/>
      <w:b/>
      <w:bCs/>
      <w:i w:val="0"/>
      <w:iCs w:val="0"/>
      <w:smallCaps w:val="0"/>
      <w:strike w:val="0"/>
      <w:color w:val="000000"/>
      <w:spacing w:val="30"/>
      <w:w w:val="100"/>
      <w:position w:val="0"/>
      <w:sz w:val="19"/>
      <w:szCs w:val="19"/>
      <w:u w:val="none"/>
      <w:lang w:val="fr-FR" w:eastAsia="fr-FR" w:bidi="fr-FR"/>
    </w:rPr>
  </w:style>
  <w:style w:type="character" w:customStyle="1" w:styleId="Corpsdutexte28ptGras">
    <w:name w:val="Corps du texte (2) + 8 pt;Gras"/>
    <w:rsid w:val="009570B0"/>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En-tte2Exact">
    <w:name w:val="En-tête #2 Exact"/>
    <w:rsid w:val="009570B0"/>
    <w:rPr>
      <w:b w:val="0"/>
      <w:bCs w:val="0"/>
      <w:i w:val="0"/>
      <w:iCs w:val="0"/>
      <w:smallCaps w:val="0"/>
      <w:strike w:val="0"/>
      <w:sz w:val="42"/>
      <w:szCs w:val="42"/>
      <w:u w:val="none"/>
    </w:rPr>
  </w:style>
  <w:style w:type="character" w:customStyle="1" w:styleId="Corpsdutexte14Arial14ptGrasNonItaliqueEspacement0pt">
    <w:name w:val="Corps du texte (14) + Arial;14 pt;Gras;Non Italique;Espacement 0 pt"/>
    <w:rsid w:val="009570B0"/>
    <w:rPr>
      <w:rFonts w:ascii="Arial" w:eastAsia="Arial" w:hAnsi="Arial" w:cs="Arial"/>
      <w:b/>
      <w:bCs/>
      <w:i/>
      <w:iCs/>
      <w:smallCaps w:val="0"/>
      <w:strike w:val="0"/>
      <w:color w:val="000000"/>
      <w:spacing w:val="0"/>
      <w:w w:val="100"/>
      <w:position w:val="0"/>
      <w:sz w:val="28"/>
      <w:szCs w:val="28"/>
      <w:u w:val="none"/>
      <w:lang w:val="fr-FR" w:eastAsia="fr-FR" w:bidi="fr-FR"/>
    </w:rPr>
  </w:style>
  <w:style w:type="character" w:customStyle="1" w:styleId="Corpsdutexte18CourierNew17pt">
    <w:name w:val="Corps du texte (18) + Courier New;17 pt"/>
    <w:rsid w:val="009570B0"/>
    <w:rPr>
      <w:rFonts w:ascii="Courier New" w:eastAsia="Courier New" w:hAnsi="Courier New" w:cs="Courier New"/>
      <w:b w:val="0"/>
      <w:bCs w:val="0"/>
      <w:i w:val="0"/>
      <w:iCs w:val="0"/>
      <w:smallCaps w:val="0"/>
      <w:strike w:val="0"/>
      <w:color w:val="000000"/>
      <w:spacing w:val="0"/>
      <w:w w:val="100"/>
      <w:position w:val="0"/>
      <w:sz w:val="34"/>
      <w:szCs w:val="34"/>
      <w:u w:val="none"/>
      <w:lang w:val="fr-FR" w:eastAsia="fr-FR" w:bidi="fr-FR"/>
    </w:rPr>
  </w:style>
  <w:style w:type="character" w:customStyle="1" w:styleId="En-tteoupieddepage20">
    <w:name w:val="En-tête ou pied de page (2)_"/>
    <w:rsid w:val="009570B0"/>
    <w:rPr>
      <w:rFonts w:ascii="Arial" w:eastAsia="Arial" w:hAnsi="Arial" w:cs="Arial"/>
      <w:b w:val="0"/>
      <w:bCs w:val="0"/>
      <w:i w:val="0"/>
      <w:iCs w:val="0"/>
      <w:smallCaps w:val="0"/>
      <w:strike w:val="0"/>
      <w:u w:val="none"/>
    </w:rPr>
  </w:style>
  <w:style w:type="character" w:customStyle="1" w:styleId="En-tteoupieddepage2Italique">
    <w:name w:val="En-tête ou pied de page (2) + Italique"/>
    <w:rsid w:val="009570B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paragraph" w:customStyle="1" w:styleId="Citation0simple">
    <w:name w:val="Citation 0 simple"/>
    <w:basedOn w:val="Citation0"/>
    <w:rsid w:val="00EC26AE"/>
    <w:rPr>
      <w:lang w:eastAsia="fr-FR" w:bidi="fr-FR"/>
    </w:rPr>
  </w:style>
  <w:style w:type="paragraph" w:customStyle="1" w:styleId="s">
    <w:name w:val="s"/>
    <w:basedOn w:val="Normal"/>
    <w:rsid w:val="00C57D71"/>
    <w:pPr>
      <w:spacing w:before="120" w:after="120"/>
      <w:jc w:val="both"/>
    </w:pPr>
    <w:rPr>
      <w:lang w:eastAsia="fr-FR" w:bidi="fr-FR"/>
    </w:rPr>
  </w:style>
  <w:style w:type="paragraph" w:customStyle="1" w:styleId="Titlestcouleur">
    <w:name w:val="Title_st couleur"/>
    <w:basedOn w:val="Titlest"/>
    <w:autoRedefine/>
    <w:rsid w:val="007150EF"/>
    <w:rPr>
      <w:color w:val="FF0000"/>
    </w:rPr>
  </w:style>
  <w:style w:type="paragraph" w:styleId="TableauGrille2">
    <w:name w:val="Grid Table 2"/>
    <w:basedOn w:val="Normal"/>
    <w:rsid w:val="00113C0E"/>
    <w:pPr>
      <w:ind w:left="360" w:hanging="360"/>
    </w:pPr>
  </w:style>
  <w:style w:type="paragraph" w:styleId="Grillecouleur-Accent1">
    <w:name w:val="Colorful Grid Accent 1"/>
    <w:basedOn w:val="Normal"/>
    <w:link w:val="Grillecouleur-Accent1Car1"/>
    <w:autoRedefine/>
    <w:rsid w:val="00113C0E"/>
    <w:pPr>
      <w:spacing w:before="120" w:after="120" w:line="320" w:lineRule="exact"/>
      <w:ind w:left="720"/>
      <w:jc w:val="both"/>
    </w:pPr>
    <w:rPr>
      <w:color w:val="000080"/>
    </w:rPr>
  </w:style>
  <w:style w:type="character" w:customStyle="1" w:styleId="Grillecouleur-Accent1Car1">
    <w:name w:val="Grille couleur - Accent 1 Car1"/>
    <w:basedOn w:val="Policepardfaut"/>
    <w:link w:val="Grillecouleur-Accent1"/>
    <w:rsid w:val="00113C0E"/>
    <w:rPr>
      <w:rFonts w:ascii="Times New Roman" w:eastAsia="Times New Roman" w:hAnsi="Times New Roman"/>
      <w:color w:val="000080"/>
      <w:sz w:val="28"/>
      <w:lang w:val="fr-CA" w:eastAsia="en-US"/>
    </w:rPr>
  </w:style>
  <w:style w:type="paragraph" w:customStyle="1" w:styleId="figtitrest">
    <w:name w:val="fig titre st"/>
    <w:basedOn w:val="fig"/>
    <w:autoRedefine/>
    <w:rsid w:val="00113C0E"/>
    <w:rPr>
      <w:color w:val="0000FF"/>
      <w:sz w:val="24"/>
    </w:rPr>
  </w:style>
  <w:style w:type="paragraph" w:customStyle="1" w:styleId="Titreniveau2bis">
    <w:name w:val="Titre niveau 2 bis"/>
    <w:basedOn w:val="Titreniveau2"/>
    <w:rsid w:val="00113C0E"/>
    <w:pPr>
      <w:spacing w:before="0"/>
    </w:pPr>
    <w:rPr>
      <w:sz w:val="72"/>
    </w:rPr>
  </w:style>
  <w:style w:type="character" w:styleId="lev">
    <w:name w:val="Strong"/>
    <w:basedOn w:val="Policepardfaut"/>
    <w:uiPriority w:val="22"/>
    <w:qFormat/>
    <w:rsid w:val="00805D2F"/>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classiques.uqam.ca/" TargetMode="External"/><Relationship Id="rId13" Type="http://schemas.openxmlformats.org/officeDocument/2006/relationships/hyperlink" Target="http://bibliotheque.uqac.ca/" TargetMode="Externa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6.png"/><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hyperlink" Target="https://www.persee.fr/doc/revss_0336-1578_1994_num_21_1_3052"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jmt-sociologue.uqac.ca/" TargetMode="External"/><Relationship Id="rId20" Type="http://schemas.openxmlformats.org/officeDocument/2006/relationships/hyperlink" Target="mailto:Roland.Pfefferkorn@unistra.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9.jpeg"/><Relationship Id="rId5" Type="http://schemas.openxmlformats.org/officeDocument/2006/relationships/footnotes" Target="footnotes.xml"/><Relationship Id="rId15" Type="http://schemas.openxmlformats.org/officeDocument/2006/relationships/hyperlink" Target="mailto:classiques.sc.soc@gmail.com" TargetMode="External"/><Relationship Id="rId23" Type="http://schemas.openxmlformats.org/officeDocument/2006/relationships/image" Target="media/image8.jpeg"/><Relationship Id="rId10" Type="http://schemas.openxmlformats.org/officeDocument/2006/relationships/hyperlink" Target="http://classiques.uqac.ca/" TargetMode="External"/><Relationship Id="rId19" Type="http://schemas.openxmlformats.org/officeDocument/2006/relationships/hyperlink" Target="mailto:pfefferkroland@aol.com"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uqam.ca/" TargetMode="External"/><Relationship Id="rId22" Type="http://schemas.openxmlformats.org/officeDocument/2006/relationships/image" Target="media/image7.jpeg"/><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dx.doi.org/doi:10.1522/cla.mam.esq" TargetMode="External"/><Relationship Id="rId2" Type="http://schemas.openxmlformats.org/officeDocument/2006/relationships/hyperlink" Target="http://dx.doi.org/doi:10.1522/cla.due.for2" TargetMode="External"/><Relationship Id="rId1" Type="http://schemas.openxmlformats.org/officeDocument/2006/relationships/hyperlink" Target="http://dx.doi.org/doi:10.1522/030110944"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6296</Words>
  <Characters>30917</Characters>
  <Application>Microsoft Office Word</Application>
  <DocSecurity>0</DocSecurity>
  <Lines>3091</Lines>
  <Paragraphs>2480</Paragraphs>
  <ScaleCrop>false</ScaleCrop>
  <HeadingPairs>
    <vt:vector size="2" baseType="variant">
      <vt:variant>
        <vt:lpstr>Title</vt:lpstr>
      </vt:variant>
      <vt:variant>
        <vt:i4>1</vt:i4>
      </vt:variant>
    </vt:vector>
  </HeadingPairs>
  <TitlesOfParts>
    <vt:vector size="1" baseType="lpstr">
      <vt:lpstr>“Figures de l'altérité. Le fou et l'immigré.”</vt:lpstr>
    </vt:vector>
  </TitlesOfParts>
  <Manager>par Jean-Marie Tremblay, bénévole, 2024.</Manager>
  <Company>Les Classiques des sciences sociales</Company>
  <LinksUpToDate>false</LinksUpToDate>
  <CharactersWithSpaces>34733</CharactersWithSpaces>
  <SharedDoc>false</SharedDoc>
  <HyperlinkBase/>
  <HLinks>
    <vt:vector size="108" baseType="variant">
      <vt:variant>
        <vt:i4>3342415</vt:i4>
      </vt:variant>
      <vt:variant>
        <vt:i4>24</vt:i4>
      </vt:variant>
      <vt:variant>
        <vt:i4>0</vt:i4>
      </vt:variant>
      <vt:variant>
        <vt:i4>5</vt:i4>
      </vt:variant>
      <vt:variant>
        <vt:lpwstr>mailto:Roland.Pfefferkorn@unistra.fr</vt:lpwstr>
      </vt:variant>
      <vt:variant>
        <vt:lpwstr/>
      </vt:variant>
      <vt:variant>
        <vt:i4>8192045</vt:i4>
      </vt:variant>
      <vt:variant>
        <vt:i4>21</vt:i4>
      </vt:variant>
      <vt:variant>
        <vt:i4>0</vt:i4>
      </vt:variant>
      <vt:variant>
        <vt:i4>5</vt:i4>
      </vt:variant>
      <vt:variant>
        <vt:lpwstr>mailto:pfefferkroland@aol.com</vt:lpwstr>
      </vt:variant>
      <vt:variant>
        <vt:lpwstr/>
      </vt:variant>
      <vt:variant>
        <vt:i4>1638483</vt:i4>
      </vt:variant>
      <vt:variant>
        <vt:i4>18</vt:i4>
      </vt:variant>
      <vt:variant>
        <vt:i4>0</vt:i4>
      </vt:variant>
      <vt:variant>
        <vt:i4>5</vt:i4>
      </vt:variant>
      <vt:variant>
        <vt:lpwstr>https://www.persee.fr/doc/revss_0336-1578_1994_num_21_1_3052</vt:lpwstr>
      </vt:variant>
      <vt:variant>
        <vt:lpwstr/>
      </vt:variant>
      <vt:variant>
        <vt:i4>2097274</vt:i4>
      </vt:variant>
      <vt:variant>
        <vt:i4>15</vt:i4>
      </vt:variant>
      <vt:variant>
        <vt:i4>0</vt:i4>
      </vt:variant>
      <vt:variant>
        <vt:i4>5</vt:i4>
      </vt:variant>
      <vt:variant>
        <vt:lpwstr>http://jmt-sociologue.uqac.ca/</vt:lpwstr>
      </vt:variant>
      <vt:variant>
        <vt:lpwstr/>
      </vt:variant>
      <vt:variant>
        <vt:i4>4063245</vt:i4>
      </vt:variant>
      <vt:variant>
        <vt:i4>12</vt:i4>
      </vt:variant>
      <vt:variant>
        <vt:i4>0</vt:i4>
      </vt:variant>
      <vt:variant>
        <vt:i4>5</vt:i4>
      </vt:variant>
      <vt:variant>
        <vt:lpwstr>mailto:classiques.sc.soc@gmail.com</vt:lpwstr>
      </vt:variant>
      <vt:variant>
        <vt:lpwstr/>
      </vt:variant>
      <vt:variant>
        <vt:i4>4259867</vt:i4>
      </vt:variant>
      <vt:variant>
        <vt:i4>9</vt:i4>
      </vt:variant>
      <vt:variant>
        <vt:i4>0</vt:i4>
      </vt:variant>
      <vt:variant>
        <vt:i4>5</vt:i4>
      </vt:variant>
      <vt:variant>
        <vt:lpwstr>https://uqam.ca/</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3801179</vt:i4>
      </vt:variant>
      <vt:variant>
        <vt:i4>0</vt:i4>
      </vt:variant>
      <vt:variant>
        <vt:i4>0</vt:i4>
      </vt:variant>
      <vt:variant>
        <vt:i4>5</vt:i4>
      </vt:variant>
      <vt:variant>
        <vt:lpwstr>https://classiques.uqam.ca/</vt:lpwstr>
      </vt:variant>
      <vt:variant>
        <vt:lpwstr/>
      </vt:variant>
      <vt:variant>
        <vt:i4>4849783</vt:i4>
      </vt:variant>
      <vt:variant>
        <vt:i4>6</vt:i4>
      </vt:variant>
      <vt:variant>
        <vt:i4>0</vt:i4>
      </vt:variant>
      <vt:variant>
        <vt:i4>5</vt:i4>
      </vt:variant>
      <vt:variant>
        <vt:lpwstr>http://dx.doi.org/doi:10.1522/cla.mam.esq</vt:lpwstr>
      </vt:variant>
      <vt:variant>
        <vt:lpwstr/>
      </vt:variant>
      <vt:variant>
        <vt:i4>7340150</vt:i4>
      </vt:variant>
      <vt:variant>
        <vt:i4>3</vt:i4>
      </vt:variant>
      <vt:variant>
        <vt:i4>0</vt:i4>
      </vt:variant>
      <vt:variant>
        <vt:i4>5</vt:i4>
      </vt:variant>
      <vt:variant>
        <vt:lpwstr>http://dx.doi.org/doi:10.1522/cla.due.for2</vt:lpwstr>
      </vt:variant>
      <vt:variant>
        <vt:lpwstr/>
      </vt:variant>
      <vt:variant>
        <vt:i4>3276893</vt:i4>
      </vt:variant>
      <vt:variant>
        <vt:i4>0</vt:i4>
      </vt:variant>
      <vt:variant>
        <vt:i4>0</vt:i4>
      </vt:variant>
      <vt:variant>
        <vt:i4>5</vt:i4>
      </vt:variant>
      <vt:variant>
        <vt:lpwstr>http://dx.doi.org/doi:10.1522/030110944</vt:lpwstr>
      </vt:variant>
      <vt:variant>
        <vt:lpwstr/>
      </vt:variant>
      <vt:variant>
        <vt:i4>4456515</vt:i4>
      </vt:variant>
      <vt:variant>
        <vt:i4>2229</vt:i4>
      </vt:variant>
      <vt:variant>
        <vt:i4>1032</vt:i4>
      </vt:variant>
      <vt:variant>
        <vt:i4>1</vt:i4>
      </vt:variant>
      <vt:variant>
        <vt:lpwstr>CC-NC-ND</vt:lpwstr>
      </vt:variant>
      <vt:variant>
        <vt:lpwstr/>
      </vt:variant>
      <vt:variant>
        <vt:i4>2228293</vt:i4>
      </vt:variant>
      <vt:variant>
        <vt:i4>2378</vt:i4>
      </vt:variant>
      <vt:variant>
        <vt:i4>1025</vt:i4>
      </vt:variant>
      <vt:variant>
        <vt:i4>1</vt:i4>
      </vt:variant>
      <vt:variant>
        <vt:lpwstr>css_logo_gris</vt:lpwstr>
      </vt:variant>
      <vt:variant>
        <vt:lpwstr/>
      </vt:variant>
      <vt:variant>
        <vt:i4>5111880</vt:i4>
      </vt:variant>
      <vt:variant>
        <vt:i4>2707</vt:i4>
      </vt:variant>
      <vt:variant>
        <vt:i4>1026</vt:i4>
      </vt:variant>
      <vt:variant>
        <vt:i4>1</vt:i4>
      </vt:variant>
      <vt:variant>
        <vt:lpwstr>UQAC_logo_2018</vt:lpwstr>
      </vt:variant>
      <vt:variant>
        <vt:lpwstr/>
      </vt:variant>
      <vt:variant>
        <vt:i4>1507403</vt:i4>
      </vt:variant>
      <vt:variant>
        <vt:i4>2709</vt:i4>
      </vt:variant>
      <vt:variant>
        <vt:i4>1027</vt:i4>
      </vt:variant>
      <vt:variant>
        <vt:i4>1</vt:i4>
      </vt:variant>
      <vt:variant>
        <vt:lpwstr>UQAM_logo</vt:lpwstr>
      </vt:variant>
      <vt:variant>
        <vt:lpwstr/>
      </vt:variant>
      <vt:variant>
        <vt:i4>4456515</vt:i4>
      </vt:variant>
      <vt:variant>
        <vt:i4>5136</vt:i4>
      </vt:variant>
      <vt:variant>
        <vt:i4>1033</vt:i4>
      </vt:variant>
      <vt:variant>
        <vt:i4>1</vt:i4>
      </vt:variant>
      <vt:variant>
        <vt:lpwstr>CC-NC-ND</vt:lpwstr>
      </vt:variant>
      <vt:variant>
        <vt:lpwstr/>
      </vt:variant>
      <vt:variant>
        <vt:i4>5177420</vt:i4>
      </vt:variant>
      <vt:variant>
        <vt:i4>6044</vt:i4>
      </vt:variant>
      <vt:variant>
        <vt:i4>1034</vt:i4>
      </vt:variant>
      <vt:variant>
        <vt:i4>1</vt:i4>
      </vt:variant>
      <vt:variant>
        <vt:lpwstr>Figures_alterite_L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“Figures de l'altérité. Le fou et l'immigré.”</dc:title>
  <dc:subject/>
  <dc:creator>Roland Pfefferkorn, sociologue, 1994</dc:creator>
  <cp:keywords>classiques.sc.soc@gmail.com</cp:keywords>
  <dc:description>http://classiques.uqac.ca/</dc:description>
  <cp:lastModifiedBy>jean-marie tremblay</cp:lastModifiedBy>
  <cp:revision>2</cp:revision>
  <cp:lastPrinted>2001-08-26T19:33:00Z</cp:lastPrinted>
  <dcterms:created xsi:type="dcterms:W3CDTF">2024-10-30T14:52:00Z</dcterms:created>
  <dcterms:modified xsi:type="dcterms:W3CDTF">2024-10-30T14:52:00Z</dcterms:modified>
  <cp:category>jean-marie tremblay, sociologue, fondateur, 1993.</cp:category>
</cp:coreProperties>
</file>